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F16B6"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p>
    <w:p w14:paraId="059255FB" w14:textId="423E4396"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p>
    <w:p w14:paraId="48D327FB" w14:textId="521106E8" w:rsidR="00800565" w:rsidRPr="009161E2" w:rsidRDefault="00800565" w:rsidP="00CD5FE0">
      <w:pPr>
        <w:bidi/>
        <w:spacing w:before="120" w:after="120" w:line="240" w:lineRule="auto"/>
        <w:ind w:firstLine="864"/>
        <w:jc w:val="center"/>
        <w:rPr>
          <w:rFonts w:ascii="Traditional Arabic" w:hAnsi="Traditional Arabic" w:cs="Traditional Arabic"/>
          <w:b/>
          <w:bCs/>
          <w:sz w:val="32"/>
          <w:szCs w:val="32"/>
          <w:rtl/>
        </w:rPr>
      </w:pPr>
      <w:r w:rsidRPr="009161E2">
        <w:rPr>
          <w:rFonts w:ascii="Traditional Arabic" w:hAnsi="Traditional Arabic" w:cs="Traditional Arabic"/>
          <w:b/>
          <w:bCs/>
          <w:sz w:val="32"/>
          <w:szCs w:val="32"/>
          <w:rtl/>
        </w:rPr>
        <w:t>الجمال بين الحب والتجلي عند ابن عربي</w:t>
      </w:r>
    </w:p>
    <w:p w14:paraId="67B19309" w14:textId="4E2FB8D1" w:rsidR="00800565" w:rsidRPr="009161E2" w:rsidRDefault="00800565" w:rsidP="00CD5FE0">
      <w:pPr>
        <w:bidi/>
        <w:spacing w:before="120" w:after="120" w:line="240" w:lineRule="auto"/>
        <w:ind w:firstLine="864"/>
        <w:jc w:val="right"/>
        <w:rPr>
          <w:rFonts w:ascii="Traditional Arabic" w:hAnsi="Traditional Arabic" w:cs="Traditional Arabic"/>
          <w:b/>
          <w:bCs/>
          <w:sz w:val="32"/>
          <w:szCs w:val="32"/>
          <w:rtl/>
        </w:rPr>
      </w:pPr>
      <w:r w:rsidRPr="009161E2">
        <w:rPr>
          <w:rFonts w:ascii="Traditional Arabic" w:hAnsi="Traditional Arabic" w:cs="Traditional Arabic"/>
          <w:b/>
          <w:bCs/>
          <w:sz w:val="32"/>
          <w:szCs w:val="32"/>
          <w:rtl/>
        </w:rPr>
        <w:t>إنعام عبد المنعم حيدورة</w:t>
      </w:r>
    </w:p>
    <w:p w14:paraId="3E627774"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p>
    <w:p w14:paraId="196F1856" w14:textId="7B6561D3" w:rsidR="00800565" w:rsidRPr="009161E2"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0" w:name="_Toc61861596"/>
      <w:r w:rsidRPr="009161E2">
        <w:rPr>
          <w:rFonts w:ascii="Traditional Arabic" w:hAnsi="Traditional Arabic" w:cs="Traditional Arabic"/>
          <w:b/>
          <w:bCs/>
          <w:sz w:val="32"/>
          <w:szCs w:val="32"/>
          <w:rtl/>
        </w:rPr>
        <w:t>مقدّمة</w:t>
      </w:r>
      <w:bookmarkEnd w:id="0"/>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9161E2" w14:paraId="7C898045" w14:textId="77777777" w:rsidTr="009161E2">
        <w:tc>
          <w:tcPr>
            <w:tcW w:w="4675" w:type="dxa"/>
          </w:tcPr>
          <w:p w14:paraId="13A80A20" w14:textId="40864C42"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ولما رأينا الحب يعظم قدره</w:t>
            </w:r>
            <w:r w:rsidRPr="009161E2">
              <w:rPr>
                <w:rFonts w:ascii="Traditional Arabic" w:hAnsi="Traditional Arabic" w:cs="Traditional Arabic"/>
                <w:sz w:val="32"/>
                <w:szCs w:val="32"/>
                <w:rtl/>
              </w:rPr>
              <w:br/>
              <w:t xml:space="preserve">         </w:t>
            </w:r>
          </w:p>
        </w:tc>
        <w:tc>
          <w:tcPr>
            <w:tcW w:w="4675" w:type="dxa"/>
          </w:tcPr>
          <w:p w14:paraId="30991A0F" w14:textId="7B2848F4"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ومالي به حتى الممات يدان</w:t>
            </w:r>
            <w:r w:rsidRPr="009161E2">
              <w:rPr>
                <w:rFonts w:ascii="Traditional Arabic" w:hAnsi="Traditional Arabic" w:cs="Traditional Arabic"/>
                <w:sz w:val="32"/>
                <w:szCs w:val="32"/>
                <w:rtl/>
              </w:rPr>
              <w:br/>
            </w:r>
          </w:p>
        </w:tc>
      </w:tr>
      <w:tr w:rsidR="009161E2" w14:paraId="2B6742CC" w14:textId="77777777" w:rsidTr="009161E2">
        <w:tc>
          <w:tcPr>
            <w:tcW w:w="4675" w:type="dxa"/>
          </w:tcPr>
          <w:p w14:paraId="1F05EC5B" w14:textId="5383B5B2"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تعشقت حب الحب دهري ولم أقل     </w:t>
            </w:r>
            <w:r w:rsidRPr="009161E2">
              <w:rPr>
                <w:rFonts w:ascii="Traditional Arabic" w:hAnsi="Traditional Arabic" w:cs="Traditional Arabic"/>
                <w:sz w:val="32"/>
                <w:szCs w:val="32"/>
                <w:rtl/>
              </w:rPr>
              <w:br/>
            </w:r>
          </w:p>
        </w:tc>
        <w:tc>
          <w:tcPr>
            <w:tcW w:w="4675" w:type="dxa"/>
          </w:tcPr>
          <w:p w14:paraId="414912E9" w14:textId="50D797F0"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كفاني الذي قد نلت منه كفاني</w:t>
            </w:r>
            <w:r>
              <w:rPr>
                <w:rFonts w:ascii="Traditional Arabic" w:hAnsi="Traditional Arabic" w:cs="Traditional Arabic"/>
                <w:sz w:val="32"/>
                <w:szCs w:val="32"/>
                <w:rtl/>
              </w:rPr>
              <w:br/>
            </w:r>
          </w:p>
        </w:tc>
      </w:tr>
      <w:tr w:rsidR="009161E2" w14:paraId="5E8811C7" w14:textId="77777777" w:rsidTr="009161E2">
        <w:tc>
          <w:tcPr>
            <w:tcW w:w="4675" w:type="dxa"/>
          </w:tcPr>
          <w:p w14:paraId="348CAD0F" w14:textId="79ECAA13"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فأبدا لي المحبوب شمس اتصاله </w:t>
            </w:r>
            <w:r w:rsidRPr="009161E2">
              <w:rPr>
                <w:rFonts w:ascii="Traditional Arabic" w:hAnsi="Traditional Arabic" w:cs="Traditional Arabic"/>
                <w:sz w:val="32"/>
                <w:szCs w:val="32"/>
              </w:rPr>
              <w:t xml:space="preserve"> </w:t>
            </w:r>
            <w:r>
              <w:rPr>
                <w:rFonts w:ascii="Traditional Arabic" w:hAnsi="Traditional Arabic" w:cs="Traditional Arabic"/>
                <w:sz w:val="32"/>
                <w:szCs w:val="32"/>
                <w:rtl/>
              </w:rPr>
              <w:br/>
            </w:r>
            <w:r w:rsidRPr="009161E2">
              <w:rPr>
                <w:rFonts w:ascii="Traditional Arabic" w:hAnsi="Traditional Arabic" w:cs="Traditional Arabic"/>
                <w:sz w:val="32"/>
                <w:szCs w:val="32"/>
              </w:rPr>
              <w:t xml:space="preserve">       </w:t>
            </w:r>
          </w:p>
        </w:tc>
        <w:tc>
          <w:tcPr>
            <w:tcW w:w="4675" w:type="dxa"/>
          </w:tcPr>
          <w:p w14:paraId="13D7F2BE" w14:textId="07459D95" w:rsidR="009161E2" w:rsidRPr="009161E2" w:rsidRDefault="009161E2" w:rsidP="00CD5FE0">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أضاء بها كوني وعين جناتي</w:t>
            </w:r>
            <w:r>
              <w:rPr>
                <w:rFonts w:ascii="Traditional Arabic" w:hAnsi="Traditional Arabic" w:cs="Traditional Arabic"/>
                <w:sz w:val="32"/>
                <w:szCs w:val="32"/>
                <w:rtl/>
              </w:rPr>
              <w:br/>
            </w:r>
          </w:p>
        </w:tc>
      </w:tr>
    </w:tbl>
    <w:p w14:paraId="0A71F259" w14:textId="77777777" w:rsidR="009161E2" w:rsidRDefault="009161E2" w:rsidP="00CD5FE0">
      <w:pPr>
        <w:bidi/>
        <w:spacing w:before="120" w:after="120" w:line="240" w:lineRule="auto"/>
        <w:ind w:firstLine="864"/>
        <w:jc w:val="both"/>
        <w:rPr>
          <w:rFonts w:ascii="Traditional Arabic" w:hAnsi="Traditional Arabic" w:cs="Traditional Arabic"/>
          <w:sz w:val="32"/>
          <w:szCs w:val="32"/>
          <w:rtl/>
        </w:rPr>
      </w:pPr>
    </w:p>
    <w:p w14:paraId="34B43DE5" w14:textId="00FFA566"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يتناول هذا البحث فلسفة الجمال عند ابن عربي، الذي بدأ رحلته العلميّة باكرًا مذ كان في عمر الثماني سنوات، فحفظ القرآن الكريم، ودرس الحديث والفقه. وقد حصّل هذه العلوم الإسلاميّة، وهو لم يتجاوز العشرين من العمر. وبعد العشرين، بدأت مسيرته في التصوّف والتذوّق الجمالي العرفاني. كانت له مكانته الخاصّة بين الناس، ففي شبابه حيّر فيلسوف قرطبة، وأدهش علماء زمانه. وبعد وفاته اختلفوا فيه.  كما شكّل اتجاهًا جديدًا في الفكر الصوفي، وهو اتجاه علم المكاشفة، ووضع منهاجًا صوفي</w:t>
      </w:r>
      <w:r w:rsidR="00CD5FE0">
        <w:rPr>
          <w:rFonts w:ascii="Traditional Arabic" w:hAnsi="Traditional Arabic" w:cs="Traditional Arabic" w:hint="cs"/>
          <w:sz w:val="32"/>
          <w:szCs w:val="32"/>
          <w:rtl/>
        </w:rPr>
        <w:t>ًّ</w:t>
      </w:r>
      <w:r w:rsidRPr="009161E2">
        <w:rPr>
          <w:rFonts w:ascii="Traditional Arabic" w:hAnsi="Traditional Arabic" w:cs="Traditional Arabic"/>
          <w:sz w:val="32"/>
          <w:szCs w:val="32"/>
          <w:rtl/>
        </w:rPr>
        <w:t>ا ورؤية ما ورائية متكاملة لله والإنسان والكون. برزت نظرته الجماليّة في أغلب كتاباته، من الفتوحات المكيّة والتجلّيات الإلهيّة، وكتاب الجلال والجمال وغيرها من مؤلّفاته العرفانيّة والرمزيّة والشعريّة. وكان من المتقدّمين في طرح رؤية فلسفيّة جماليّة في أبهى صورها.</w:t>
      </w:r>
    </w:p>
    <w:p w14:paraId="01B751A3"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w:t>
      </w:r>
      <w:r w:rsidR="004600D6" w:rsidRPr="009161E2">
        <w:rPr>
          <w:rFonts w:ascii="Traditional Arabic" w:hAnsi="Traditional Arabic" w:cs="Traditional Arabic"/>
          <w:sz w:val="32"/>
          <w:szCs w:val="32"/>
          <w:rtl/>
        </w:rPr>
        <w:t>ال</w:t>
      </w:r>
      <w:r w:rsidRPr="009161E2">
        <w:rPr>
          <w:rFonts w:ascii="Traditional Arabic" w:hAnsi="Traditional Arabic" w:cs="Traditional Arabic"/>
          <w:sz w:val="32"/>
          <w:szCs w:val="32"/>
          <w:rtl/>
        </w:rPr>
        <w:t>سؤال الإشكالي هو التالي: هل فلسفة الجمال قديمة؟ أم أنها متأخّرة؟ وأين يقع الجمال والجماليّات في منظومة  ابن عربي؟</w:t>
      </w:r>
    </w:p>
    <w:p w14:paraId="70C38CB7"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 سيكتفي هذا البحث الوجيز بالإجابة عن الإشكاليّة المطروحة في مقدمة وفصلين وخاتمة. يتناول الفصل الأوّل تعريف فلسفة الجمال ونشأتها ومراحل تطوّرها. وينتقل الفصل الثاني للبحث في فلسفة الجمال عند ابن عربي، </w:t>
      </w:r>
      <w:r w:rsidRPr="009161E2">
        <w:rPr>
          <w:rFonts w:ascii="Traditional Arabic" w:hAnsi="Traditional Arabic" w:cs="Traditional Arabic"/>
          <w:sz w:val="32"/>
          <w:szCs w:val="32"/>
          <w:rtl/>
        </w:rPr>
        <w:lastRenderedPageBreak/>
        <w:t>وتساوق الجمال مع العشق الإلهي، ومن ثم يمرّ على الجمال في التجلّي الإلهي عند ابن عربي. وفي الخاتمة، عرضٌ للاستنتاج.</w:t>
      </w:r>
    </w:p>
    <w:p w14:paraId="18FA32A9"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p>
    <w:p w14:paraId="3E26ADB8" w14:textId="66C40A86" w:rsidR="00304A41" w:rsidRPr="00867735" w:rsidRDefault="00800565" w:rsidP="00867735">
      <w:pPr>
        <w:bidi/>
        <w:spacing w:before="120" w:after="120" w:line="240" w:lineRule="auto"/>
        <w:ind w:firstLine="864"/>
        <w:jc w:val="both"/>
        <w:rPr>
          <w:rFonts w:ascii="Traditional Arabic" w:hAnsi="Traditional Arabic" w:cs="Traditional Arabic"/>
          <w:sz w:val="32"/>
          <w:szCs w:val="32"/>
          <w:rtl/>
        </w:rPr>
      </w:pPr>
      <w:bookmarkStart w:id="1" w:name="_Toc61861597"/>
      <w:r w:rsidRPr="000720DC">
        <w:rPr>
          <w:rFonts w:ascii="Traditional Arabic" w:hAnsi="Traditional Arabic" w:cs="Traditional Arabic"/>
          <w:b/>
          <w:bCs/>
          <w:sz w:val="32"/>
          <w:szCs w:val="32"/>
          <w:rtl/>
        </w:rPr>
        <w:t>الفصل الأوّل</w:t>
      </w:r>
      <w:r w:rsidR="00304A41" w:rsidRPr="000720DC">
        <w:rPr>
          <w:rFonts w:ascii="Traditional Arabic" w:hAnsi="Traditional Arabic" w:cs="Traditional Arabic"/>
          <w:b/>
          <w:bCs/>
          <w:sz w:val="32"/>
          <w:szCs w:val="32"/>
          <w:rtl/>
        </w:rPr>
        <w:t>: فلسفة الجمال</w:t>
      </w:r>
      <w:bookmarkEnd w:id="1"/>
      <w:r w:rsidR="000720DC">
        <w:rPr>
          <w:rFonts w:ascii="Traditional Arabic" w:hAnsi="Traditional Arabic" w:cs="Traditional Arabic" w:hint="cs"/>
          <w:b/>
          <w:bCs/>
          <w:sz w:val="32"/>
          <w:szCs w:val="32"/>
          <w:rtl/>
        </w:rPr>
        <w:t>.</w:t>
      </w:r>
    </w:p>
    <w:p w14:paraId="6CE33FD6" w14:textId="48B0BE62" w:rsidR="00800565" w:rsidRPr="000720DC" w:rsidRDefault="00800565" w:rsidP="00CD5FE0">
      <w:pPr>
        <w:bidi/>
        <w:spacing w:before="120" w:after="120" w:line="240" w:lineRule="auto"/>
        <w:ind w:firstLine="864"/>
        <w:jc w:val="both"/>
        <w:rPr>
          <w:rFonts w:ascii="Traditional Arabic" w:hAnsi="Traditional Arabic" w:cs="Traditional Arabic"/>
          <w:b/>
          <w:bCs/>
          <w:sz w:val="32"/>
          <w:szCs w:val="32"/>
          <w:rtl/>
        </w:rPr>
      </w:pPr>
      <w:r w:rsidRPr="000720DC">
        <w:rPr>
          <w:rFonts w:ascii="Traditional Arabic" w:hAnsi="Traditional Arabic" w:cs="Traditional Arabic"/>
          <w:b/>
          <w:bCs/>
          <w:sz w:val="32"/>
          <w:szCs w:val="32"/>
          <w:rtl/>
        </w:rPr>
        <w:t xml:space="preserve"> </w:t>
      </w:r>
      <w:bookmarkStart w:id="2" w:name="_Toc61861598"/>
      <w:r w:rsidRPr="000720DC">
        <w:rPr>
          <w:rFonts w:ascii="Traditional Arabic" w:hAnsi="Traditional Arabic" w:cs="Traditional Arabic"/>
          <w:b/>
          <w:bCs/>
          <w:sz w:val="32"/>
          <w:szCs w:val="32"/>
          <w:rtl/>
        </w:rPr>
        <w:t>التعريف والنشأة</w:t>
      </w:r>
      <w:bookmarkEnd w:id="2"/>
      <w:r w:rsidR="000720DC">
        <w:rPr>
          <w:rFonts w:ascii="Traditional Arabic" w:hAnsi="Traditional Arabic" w:cs="Traditional Arabic" w:hint="cs"/>
          <w:b/>
          <w:bCs/>
          <w:sz w:val="32"/>
          <w:szCs w:val="32"/>
          <w:rtl/>
        </w:rPr>
        <w:t>.</w:t>
      </w:r>
    </w:p>
    <w:p w14:paraId="6514E655" w14:textId="35913A31"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تعرّف فلسفة الجمال بأنّها كلّ الأفكار والتصوّرات النظريّة العامّة التي نجدها لدى الفلاسفة حول موضوع الجمال. ويرجع مصطلح الفلسفة إلى لفظ يوناني الأصلِ مشتَّق من كلمتين، (فيلو: والتي تعني المُحبٌّ)، و(سوفيا: التي تعني الحكمة)، وتعني المُحب للحكمة.</w:t>
      </w:r>
      <w:r w:rsidR="004600D6" w:rsidRPr="009161E2">
        <w:rPr>
          <w:rFonts w:ascii="Traditional Arabic" w:hAnsi="Traditional Arabic" w:cs="Traditional Arabic"/>
          <w:sz w:val="32"/>
          <w:szCs w:val="32"/>
          <w:rtl/>
        </w:rPr>
        <w:t xml:space="preserve"> </w:t>
      </w:r>
      <w:r w:rsidRPr="009161E2">
        <w:rPr>
          <w:rFonts w:ascii="Traditional Arabic" w:hAnsi="Traditional Arabic" w:cs="Traditional Arabic"/>
          <w:sz w:val="32"/>
          <w:szCs w:val="32"/>
          <w:rtl/>
        </w:rPr>
        <w:t>وقد تطوّر مفهوم الفلسفة عبر التاريخ، من كونه قائمًا على البحث عن حقائق الأشياء وأسبابها وعللها، إلى تفريعها لكثير من المجالات والميادين الأخرى.</w:t>
      </w:r>
      <w:r w:rsidR="006758D1" w:rsidRPr="009161E2">
        <w:rPr>
          <w:rFonts w:ascii="Traditional Arabic" w:hAnsi="Traditional Arabic" w:cs="Traditional Arabic"/>
          <w:sz w:val="32"/>
          <w:szCs w:val="32"/>
          <w:rtl/>
        </w:rPr>
        <w:t xml:space="preserve"> فالفلسفة هي حقل للتفكير والبحث يهدف بشكل أساسي إلى فهم أسرار الوجود والواقع، واكتشاف ماهية الحقيقة والمعرفة، بالإضافة إلى أنّ الفلسفة تنظر في علاقة الإنسان مع الطبيعة والمجتمع المحيط به</w:t>
      </w:r>
      <w:r w:rsidR="006758D1" w:rsidRPr="009161E2">
        <w:rPr>
          <w:rFonts w:ascii="Traditional Arabic" w:hAnsi="Traditional Arabic" w:cs="Traditional Arabic"/>
          <w:sz w:val="32"/>
          <w:szCs w:val="32"/>
          <w:rtl/>
        </w:rPr>
        <w:footnoteReference w:id="1"/>
      </w:r>
      <w:r w:rsidR="000720DC">
        <w:rPr>
          <w:rFonts w:ascii="Traditional Arabic" w:hAnsi="Traditional Arabic" w:cs="Traditional Arabic" w:hint="cs"/>
          <w:sz w:val="32"/>
          <w:szCs w:val="32"/>
          <w:rtl/>
        </w:rPr>
        <w:t>.</w:t>
      </w:r>
    </w:p>
    <w:p w14:paraId="270AE034" w14:textId="5372C28C" w:rsidR="00800565" w:rsidRPr="009161E2" w:rsidRDefault="00800565" w:rsidP="000720DC">
      <w:pPr>
        <w:bidi/>
        <w:spacing w:before="120" w:after="120" w:line="240" w:lineRule="auto"/>
        <w:ind w:firstLine="864"/>
        <w:jc w:val="both"/>
        <w:rPr>
          <w:rFonts w:ascii="Traditional Arabic" w:hAnsi="Traditional Arabic" w:cs="Traditional Arabic"/>
          <w:sz w:val="32"/>
          <w:szCs w:val="32"/>
        </w:rPr>
      </w:pPr>
      <w:r w:rsidRPr="009161E2">
        <w:rPr>
          <w:rFonts w:ascii="Traditional Arabic" w:hAnsi="Traditional Arabic" w:cs="Traditional Arabic"/>
          <w:sz w:val="32"/>
          <w:szCs w:val="32"/>
          <w:rtl/>
        </w:rPr>
        <w:t>أمّا مصطلح الجمال فأصله يوناني أيضًا، فبعد أن كانت عند جورجياس نظريّة قائمةٌ على دور الجمال الفنّيِّ المؤثرِ على إحساس الإنسان؛ حيث تُقدّم الفنون للنفس البشريَّة لذّةً حسيَّةً، وكان يستند على الوهم في أفكاره، ويستقلّ عن الحقيقة،كان الجمال عند هيراقليطس تصوّر الكون صيرورة لانهائيّة بين أضداد متصارعة، والانسجام الذي ينظّم الكون في هذا الصراع الدائم. ويشير الأستاذ ف. أسموس إلى "أنّ الفكرة الأساسيّة التي طوّرها هيراقليطس في ميدان علم الجمال تقول إنّ الجمال هو تعبير عن انسجام الأضداد"</w:t>
      </w:r>
      <w:r w:rsidRPr="009161E2">
        <w:rPr>
          <w:rFonts w:ascii="Traditional Arabic" w:hAnsi="Traditional Arabic" w:cs="Traditional Arabic"/>
          <w:sz w:val="32"/>
          <w:szCs w:val="32"/>
          <w:rtl/>
        </w:rPr>
        <w:footnoteReference w:id="2"/>
      </w:r>
      <w:r w:rsidRPr="009161E2">
        <w:rPr>
          <w:rFonts w:ascii="Traditional Arabic" w:hAnsi="Traditional Arabic" w:cs="Traditional Arabic"/>
          <w:sz w:val="32"/>
          <w:szCs w:val="32"/>
          <w:rtl/>
        </w:rPr>
        <w:t>.</w:t>
      </w:r>
    </w:p>
    <w:p w14:paraId="6747FCEF"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وعند سقراط تدور الفكرة مدار جمال النّفس والأخلاق؛ فالجمال لديه هو ما يُحقّق النفع والفائدة الأخلاقيِّة، ويخدم الحياة الإنسانيّة، ويرجع الجميل عنده إلى الذات العاقلة والضمير الباطن. أمّا عند أفلاطون، فالجمال عنده مرتبط بالحبّ الإلهيِّ، لكون موضوع الحبّ هو الجمال بالذات، ويتدرّج الذوق الجمالي عند أفلاطون على مراحل ثلاث ترسم لنا ذوقًا جماليًّا وصوفيًّا في مضمونه بصورة تصاعديّة</w:t>
      </w:r>
      <w:r w:rsidRPr="009161E2">
        <w:rPr>
          <w:rFonts w:ascii="Traditional Arabic" w:hAnsi="Traditional Arabic" w:cs="Traditional Arabic"/>
          <w:sz w:val="32"/>
          <w:szCs w:val="32"/>
        </w:rPr>
        <w:t xml:space="preserve"> :</w:t>
      </w:r>
    </w:p>
    <w:p w14:paraId="4FBF590E"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الذوق الجمالي الشكلي؛ أي جمال الأشكال.</w:t>
      </w:r>
    </w:p>
    <w:p w14:paraId="7AC84E11" w14:textId="749E53CA"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الذوق الجمالي الأخلاقي والعقلي؛ أي جمال الأفكار.</w:t>
      </w:r>
    </w:p>
    <w:p w14:paraId="7167D629"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lastRenderedPageBreak/>
        <w:t xml:space="preserve">الذوق الجمالي المطلق؛ أي الجمال المثالي الأبدي. </w:t>
      </w:r>
    </w:p>
    <w:p w14:paraId="27107BEF" w14:textId="6C94AAB3" w:rsidR="00800565" w:rsidRPr="009161E2" w:rsidRDefault="00800565" w:rsidP="000720DC">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ويرى أفلاطون أنّ الفنون تأخذ جمالها من محاكاتها للطبيعة. وكان أفلاطون هو نقطة البداية الحقيقيّة في علم الجمال اليوناني، أو بشكل عام في تاريخ الوعي الجمالي، والجمال عنده ما هو إلّا محاكاة للمدركات والأشياء الشبيهة بمثال الجمال. فقد نظر إلى الجمال في المثال على أنّه جمال مطلق، بينما الجمال في الأشياء الأخرى هو جمال نسبي. ووفقًا لنظريّته، فإنّ الجمال ما هو إلّا محاكاة للمدركات والأشياء الشبيهة بمثال الجمال. فمفهوم الجمال عند أفلاطون هو أمر</w:t>
      </w:r>
      <w:r w:rsidR="000720DC">
        <w:rPr>
          <w:rFonts w:ascii="Traditional Arabic" w:hAnsi="Traditional Arabic" w:cs="Traditional Arabic" w:hint="cs"/>
          <w:sz w:val="32"/>
          <w:szCs w:val="32"/>
          <w:rtl/>
        </w:rPr>
        <w:t xml:space="preserve"> </w:t>
      </w:r>
      <w:r w:rsidRPr="009161E2">
        <w:rPr>
          <w:rFonts w:ascii="Traditional Arabic" w:hAnsi="Traditional Arabic" w:cs="Traditional Arabic"/>
          <w:sz w:val="32"/>
          <w:szCs w:val="32"/>
          <w:rtl/>
        </w:rPr>
        <w:t>موجود بالعرض، فهو عرض ظاهر تشعر به الحواس أو إحداها فترتاح إليه، وتسرّ به النفس، وينشرح له الصدر، ويبتهج به القلب فهو مشترك بين الحواس كلها. فيعتبر الذوق الجمالي الأفلاطوني ذوقًا تصاعديًّا متسلسلًا من درجة إلى أخرى، حتّى يتمّ التوصّل إلى المفهوم الأعلى للذوق الجمالي، حيث يتحد هذا الذوق الجمالي بالخير. وقد رأى أفلاطون أنّ في أصل كلّ ذوق جمالي لا بدّ من ذوق أوّلي يجعل الأشياء جميلة</w:t>
      </w:r>
      <w:r w:rsidRPr="009161E2">
        <w:rPr>
          <w:rFonts w:ascii="Traditional Arabic" w:hAnsi="Traditional Arabic" w:cs="Traditional Arabic"/>
          <w:sz w:val="32"/>
          <w:szCs w:val="32"/>
        </w:rPr>
        <w:footnoteReference w:id="3"/>
      </w:r>
      <w:r w:rsidRPr="009161E2">
        <w:rPr>
          <w:rFonts w:ascii="Traditional Arabic" w:hAnsi="Traditional Arabic" w:cs="Traditional Arabic"/>
          <w:sz w:val="32"/>
          <w:szCs w:val="32"/>
          <w:rtl/>
        </w:rPr>
        <w:t xml:space="preserve">.  </w:t>
      </w:r>
      <w:r w:rsidRPr="009161E2">
        <w:rPr>
          <w:rFonts w:ascii="Traditional Arabic" w:hAnsi="Traditional Arabic" w:cs="Traditional Arabic"/>
          <w:sz w:val="32"/>
          <w:szCs w:val="32"/>
        </w:rPr>
        <w:t xml:space="preserve"> </w:t>
      </w:r>
    </w:p>
    <w:p w14:paraId="3E6F3E51"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 كما تطرّق أرسطو لميادين الفنّ أكثر منه للجمال في الأشياء الذي بحث فيها أفلاطون في المثاليّة. لقد بحث أرسطو في الأثر الذي يتركه هذا الجمال في النفس، وكان هذا آخر ما وصلت إليه الفلسفة الإغريقيّة في الجمال.</w:t>
      </w:r>
    </w:p>
    <w:p w14:paraId="4CB66FA2"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وفي القرن الخامس عشر ميلادي، وبعد الحملات الصليبيّة ومدّ الفكر الأوروبي بالثروات الفكريّة الإسلامية عبر صقلية وقرطبة، ونقل التراث الفلسفي اليوناني والإسلامي إلى الحضارة الغربيّة، أخذ تعريف مفهوم الجمال الفلسفي عند الفلاسفة منحىً آخر، وكان لكلّ من المفكّرين في أوروبا رأيه وأفكاره حول هذا العلم. فمنهم من عرّف علم الجمال بالمعنى الحرفي لمصطلح الإستاطيقا، اليوناني، والذي يعني الجمال، بينما توجّه آخرون بتعريفهم لعلم الجمال بالربط بين الجمال والفن، وخلص بعضهم بتعريفهم لمفهوم الجمال بالمرادفات، ومن مرادفاته علم الجمال والجماليّات وفلسفة الجمال. فظهر مفهوم الجمال بحلّة جديدة، وأصبح أحد فروع الفلسفة الحديثة حيث ظهر في أواخر القرن الثامن عشر للميلاد، ورغم شبه الاتفاق بين الفلاسفة على أنّ جوهر الفن هو فلسفة الجمال، إلّا أنّهم اختلفوا بعد ذلك حول ماهية "الجمال"، وما هي الشروط التي ينبغي توفرها في "الشيء" حتّى نُطلق عليه جميلًا؟ </w:t>
      </w:r>
    </w:p>
    <w:p w14:paraId="0DE57B43" w14:textId="784FF0E8"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وقد ع</w:t>
      </w:r>
      <w:r w:rsidR="000720DC">
        <w:rPr>
          <w:rFonts w:ascii="Traditional Arabic" w:hAnsi="Traditional Arabic" w:cs="Traditional Arabic" w:hint="cs"/>
          <w:sz w:val="32"/>
          <w:szCs w:val="32"/>
          <w:rtl/>
        </w:rPr>
        <w:t>ُ</w:t>
      </w:r>
      <w:r w:rsidRPr="009161E2">
        <w:rPr>
          <w:rFonts w:ascii="Traditional Arabic" w:hAnsi="Traditional Arabic" w:cs="Traditional Arabic"/>
          <w:sz w:val="32"/>
          <w:szCs w:val="32"/>
          <w:rtl/>
        </w:rPr>
        <w:t>رف المجال الذي يحاول أن يجيب عن هذه التساؤلات بالإستطيقا</w:t>
      </w:r>
      <w:r w:rsidRPr="009161E2">
        <w:rPr>
          <w:rFonts w:ascii="Traditional Arabic" w:hAnsi="Traditional Arabic" w:cs="Traditional Arabic"/>
          <w:sz w:val="32"/>
          <w:szCs w:val="32"/>
          <w:rtl/>
        </w:rPr>
        <w:footnoteReference w:id="4"/>
      </w:r>
      <w:r w:rsidR="000720DC">
        <w:rPr>
          <w:rFonts w:ascii="Traditional Arabic" w:hAnsi="Traditional Arabic" w:cs="Traditional Arabic" w:hint="cs"/>
          <w:sz w:val="32"/>
          <w:szCs w:val="32"/>
          <w:rtl/>
        </w:rPr>
        <w:t>،</w:t>
      </w:r>
      <w:r w:rsidRPr="009161E2">
        <w:rPr>
          <w:rFonts w:ascii="Traditional Arabic" w:hAnsi="Traditional Arabic" w:cs="Traditional Arabic"/>
          <w:sz w:val="32"/>
          <w:szCs w:val="32"/>
          <w:rtl/>
        </w:rPr>
        <w:t xml:space="preserve"> (أو فلسفة الجمال) </w:t>
      </w:r>
      <w:r w:rsidRPr="009161E2">
        <w:rPr>
          <w:rFonts w:ascii="Traditional Arabic" w:hAnsi="Traditional Arabic" w:cs="Traditional Arabic"/>
          <w:sz w:val="32"/>
          <w:szCs w:val="32"/>
        </w:rPr>
        <w:t xml:space="preserve"> Aesthetics</w:t>
      </w:r>
      <w:r w:rsidRPr="009161E2">
        <w:rPr>
          <w:rFonts w:ascii="Traditional Arabic" w:hAnsi="Traditional Arabic" w:cs="Traditional Arabic"/>
          <w:sz w:val="32"/>
          <w:szCs w:val="32"/>
          <w:rtl/>
        </w:rPr>
        <w:t xml:space="preserve">، وهي كلمة ترجع جذورها إلى اللغة اليونانيّة القديمة، وتعني المعرفة الحسيّة أو الصورة الأوّليّة لها، وأوّل من صاغ هذا الاسم هو "ألكسندر بومجارتن" في بداية القرن الثامن عشر، وذلك في كتابه تأمّلات فلسفيّة في موضوعات </w:t>
      </w:r>
      <w:r w:rsidRPr="009161E2">
        <w:rPr>
          <w:rFonts w:ascii="Traditional Arabic" w:hAnsi="Traditional Arabic" w:cs="Traditional Arabic"/>
          <w:sz w:val="32"/>
          <w:szCs w:val="32"/>
          <w:rtl/>
        </w:rPr>
        <w:lastRenderedPageBreak/>
        <w:t>تتعلّق بالشعر؛ حيث ربط الفنون بالمعرفة الحسيّة، وهو رأي شاع بعد ذلك في طرح هيجل عن الجمال</w:t>
      </w:r>
      <w:r w:rsidRPr="009161E2">
        <w:rPr>
          <w:rFonts w:ascii="Traditional Arabic" w:hAnsi="Traditional Arabic" w:cs="Traditional Arabic"/>
          <w:sz w:val="32"/>
          <w:szCs w:val="32"/>
        </w:rPr>
        <w:t>.</w:t>
      </w:r>
      <w:r w:rsidRPr="009161E2">
        <w:rPr>
          <w:rFonts w:ascii="Traditional Arabic" w:hAnsi="Traditional Arabic" w:cs="Traditional Arabic"/>
          <w:sz w:val="32"/>
          <w:szCs w:val="32"/>
          <w:rtl/>
        </w:rPr>
        <w:t xml:space="preserve"> بينما عرّف إيمانويل كانط علم الجمال بأنّه خوض تجربة الجمال، ويصدر من حكم الفرد الذاتي، ولكن مشابه وقريب من الحقيقة الإنسانيّة.</w:t>
      </w:r>
    </w:p>
    <w:p w14:paraId="37B671E9"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Pr>
        <w:t xml:space="preserve"> </w:t>
      </w:r>
      <w:r w:rsidRPr="009161E2">
        <w:rPr>
          <w:rFonts w:ascii="Traditional Arabic" w:hAnsi="Traditional Arabic" w:cs="Traditional Arabic"/>
          <w:sz w:val="32"/>
          <w:szCs w:val="32"/>
          <w:rtl/>
        </w:rPr>
        <w:t>فلسفة الجمال علم معياري تمامًا مثل المنطق أو علم الأخلاق، ولا تتّسم موضوعاتها بالتقنين الموضوعي، بل إنّها ذاتيّة. ويعرف معجم لالاند فلسفة الجمال على أنّها "علم موضوعه الأحكام التقويميّة الذي ينطبق على التفريق بين الجميل والبشع"</w:t>
      </w:r>
      <w:r w:rsidRPr="009161E2">
        <w:rPr>
          <w:rFonts w:ascii="Traditional Arabic" w:hAnsi="Traditional Arabic" w:cs="Traditional Arabic"/>
          <w:sz w:val="32"/>
          <w:szCs w:val="32"/>
          <w:rtl/>
        </w:rPr>
        <w:footnoteReference w:id="5"/>
      </w:r>
      <w:r w:rsidRPr="009161E2">
        <w:rPr>
          <w:rFonts w:ascii="Traditional Arabic" w:hAnsi="Traditional Arabic" w:cs="Traditional Arabic"/>
          <w:sz w:val="32"/>
          <w:szCs w:val="32"/>
          <w:rtl/>
        </w:rPr>
        <w:t>.</w:t>
      </w:r>
    </w:p>
    <w:p w14:paraId="6D3CD6CD" w14:textId="7C28349D" w:rsidR="00800565" w:rsidRPr="004E42AC"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3" w:name="_Toc61861599"/>
      <w:r w:rsidRPr="004E42AC">
        <w:rPr>
          <w:rFonts w:ascii="Traditional Arabic" w:hAnsi="Traditional Arabic" w:cs="Traditional Arabic"/>
          <w:b/>
          <w:bCs/>
          <w:sz w:val="32"/>
          <w:szCs w:val="32"/>
          <w:rtl/>
        </w:rPr>
        <w:t>الجمال عند العرفاء</w:t>
      </w:r>
      <w:bookmarkEnd w:id="3"/>
      <w:r w:rsidR="004E42AC">
        <w:rPr>
          <w:rFonts w:ascii="Traditional Arabic" w:hAnsi="Traditional Arabic" w:cs="Traditional Arabic" w:hint="cs"/>
          <w:b/>
          <w:bCs/>
          <w:sz w:val="32"/>
          <w:szCs w:val="32"/>
          <w:rtl/>
        </w:rPr>
        <w:t>.</w:t>
      </w:r>
    </w:p>
    <w:p w14:paraId="52096A89"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يعدّ الجمال من اصطلاحات الصوفيّة، حيث إنّ الجمال الحقيقي عندهم هو صفة أزليّة لله تعالى، وعبارة عن أوصافه العليا وأسمائه الحسنى على العموم، وأمّا على الخصوص، فصفة الرحمة والعلم واللطف والنعم والجود والرازقيّة والنفع وأمثال ذلك كلّها من صفات الجمال.</w:t>
      </w:r>
    </w:p>
    <w:p w14:paraId="4E48F18B" w14:textId="5693FF0A"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والجمال في التصوّف والعرفان الإسلامي يتميّز بخاصيّة الذوق، وهو ذوق يختلف عن ذلك الذي نجده في الفلسفات الأخرى، لأنّ مفاهيم الذوق العرفاني لا تحصل عن طريق التأمّل العقلي، بل هو ذوق كشفي أساسه القلب. فنقطة انطلاق  الذوق الجمالي الصوفي قد بدأت في المنهج الإشراقي انطلاقًا من قوله تعالى</w:t>
      </w:r>
      <w:r w:rsidR="004E42AC">
        <w:rPr>
          <w:rFonts w:ascii="Traditional Arabic" w:hAnsi="Traditional Arabic" w:cs="Traditional Arabic" w:hint="cs"/>
          <w:sz w:val="32"/>
          <w:szCs w:val="32"/>
          <w:rtl/>
        </w:rPr>
        <w:t>:</w:t>
      </w:r>
      <w:r w:rsidRPr="009161E2">
        <w:rPr>
          <w:rFonts w:ascii="Traditional Arabic" w:hAnsi="Traditional Arabic" w:cs="Traditional Arabic"/>
          <w:sz w:val="32"/>
          <w:szCs w:val="32"/>
          <w:rtl/>
        </w:rPr>
        <w:t xml:space="preserve"> ﴿</w:t>
      </w:r>
      <w:r w:rsidR="004E42AC" w:rsidRPr="00FC7BAA">
        <w:rPr>
          <w:rFonts w:ascii="Traditional Arabic" w:hAnsi="Traditional Arabic"/>
          <w:b/>
          <w:bCs/>
          <w:sz w:val="32"/>
          <w:szCs w:val="32"/>
          <w:rtl/>
        </w:rPr>
        <w:t>اللهُ نُورُ السَّمَوَاتِ وَالأرْضِ مَثَلُ نُورِهِ كَمِشْكَاةٍ فِيهَا مِصْبَاحٌ</w:t>
      </w:r>
      <w:r w:rsidR="004E42AC">
        <w:rPr>
          <w:rFonts w:ascii="Traditional Arabic" w:hAnsi="Traditional Arabic" w:hint="cs"/>
          <w:b/>
          <w:bCs/>
          <w:sz w:val="32"/>
          <w:szCs w:val="32"/>
          <w:rtl/>
        </w:rPr>
        <w:t>...</w:t>
      </w:r>
      <w:r w:rsidR="004E42AC">
        <w:rPr>
          <w:rFonts w:ascii="Traditional Arabic" w:hAnsi="Traditional Arabic" w:cs="Traditional Arabic" w:hint="cs"/>
          <w:sz w:val="32"/>
          <w:szCs w:val="32"/>
          <w:rtl/>
        </w:rPr>
        <w:t>﴾</w:t>
      </w:r>
      <w:r w:rsidRPr="009161E2">
        <w:rPr>
          <w:rFonts w:ascii="Traditional Arabic" w:hAnsi="Traditional Arabic" w:cs="Traditional Arabic"/>
          <w:sz w:val="32"/>
          <w:szCs w:val="32"/>
          <w:rtl/>
        </w:rPr>
        <w:footnoteReference w:id="6"/>
      </w:r>
      <w:r w:rsidRPr="009161E2">
        <w:rPr>
          <w:rFonts w:ascii="Traditional Arabic" w:hAnsi="Traditional Arabic" w:cs="Traditional Arabic"/>
          <w:sz w:val="32"/>
          <w:szCs w:val="32"/>
          <w:rtl/>
        </w:rPr>
        <w:t>؛ حيث يصف الله نفسه بأنّه نور الأنوار الذي تستمدّ سائر الموجودات نورها منه. ومن هنا، يترقّى العارفون فيرون بالمشاهدة العيانيّة أن ليس في الوجود إلاّ الله، وأنّ كلّ شيء هالك إلاّ وجهه. وتبدأ معرفتهم بالحسّ وتنتهي بالعقل، إلاّ أنّ أعلى مراتب المعرفة ليست العقل أو الإيمان، بل مرتبة جماليّة الذوق والكشف التي هي بمثابة نور يقذفه الله في الصدر، وذلك بالإقرار</w:t>
      </w:r>
      <w:r w:rsidR="0020417F">
        <w:rPr>
          <w:rFonts w:ascii="Traditional Arabic" w:hAnsi="Traditional Arabic" w:cs="Traditional Arabic" w:hint="cs"/>
          <w:sz w:val="32"/>
          <w:szCs w:val="32"/>
          <w:rtl/>
        </w:rPr>
        <w:t xml:space="preserve"> </w:t>
      </w:r>
      <w:r w:rsidRPr="009161E2">
        <w:rPr>
          <w:rFonts w:ascii="Traditional Arabic" w:hAnsi="Traditional Arabic" w:cs="Traditional Arabic"/>
          <w:sz w:val="32"/>
          <w:szCs w:val="32"/>
          <w:rtl/>
        </w:rPr>
        <w:t>بأنّه هو الموجود الفرد الفاعل الأحد، والنور الذي ليس وراءه نور آخر، وإنّ إدراك هذا النور لا يكون بالنظر المجرّد ولا بالاتحاد والمشاهدة</w:t>
      </w:r>
      <w:r w:rsidRPr="009161E2">
        <w:rPr>
          <w:rFonts w:ascii="Traditional Arabic" w:hAnsi="Traditional Arabic" w:cs="Traditional Arabic"/>
          <w:sz w:val="32"/>
          <w:szCs w:val="32"/>
          <w:rtl/>
        </w:rPr>
        <w:footnoteReference w:id="7"/>
      </w:r>
      <w:r w:rsidRPr="009161E2">
        <w:rPr>
          <w:rFonts w:ascii="Traditional Arabic" w:hAnsi="Traditional Arabic" w:cs="Traditional Arabic"/>
          <w:sz w:val="32"/>
          <w:szCs w:val="32"/>
          <w:rtl/>
        </w:rPr>
        <w:t xml:space="preserve">. </w:t>
      </w:r>
    </w:p>
    <w:p w14:paraId="5A352A2D" w14:textId="61D14AD0" w:rsidR="0020417F" w:rsidRPr="009161E2" w:rsidRDefault="00800565" w:rsidP="006D2C3D">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من هنا، فإنّ علم الجمال ليس علمًا حديث النشأة، إلّا أنّه نتاج فكري تأمليِّ فلسفيِّ، استمدّ أُصوله من المذاهب الفلسفيّة الميتافيزقيّة القديمة، وتطوّر عبر التاريخ، وبرز بحلّة جديدة بعد الانفتاح الغربي على المشرق العربي، فهو علم قديم بلحاظ</w:t>
      </w:r>
      <w:r w:rsidR="0020417F">
        <w:rPr>
          <w:rFonts w:ascii="Traditional Arabic" w:hAnsi="Traditional Arabic" w:cs="Traditional Arabic" w:hint="cs"/>
          <w:sz w:val="32"/>
          <w:szCs w:val="32"/>
          <w:rtl/>
        </w:rPr>
        <w:t>،</w:t>
      </w:r>
      <w:r w:rsidRPr="009161E2">
        <w:rPr>
          <w:rFonts w:ascii="Traditional Arabic" w:hAnsi="Traditional Arabic" w:cs="Traditional Arabic"/>
          <w:sz w:val="32"/>
          <w:szCs w:val="32"/>
          <w:rtl/>
        </w:rPr>
        <w:t xml:space="preserve"> وحديث بلحاظ آخر. وهو يدلّ على الخير والحقيقة؛ ففلسفة الفنّ والجمال نشأت بنشوء الفلسفة، وهي لا تنفصل عنها.</w:t>
      </w:r>
    </w:p>
    <w:p w14:paraId="4E7E9A9C" w14:textId="2DF89CCE" w:rsidR="00800565" w:rsidRPr="0020417F"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4" w:name="_Toc61861600"/>
      <w:r w:rsidRPr="0020417F">
        <w:rPr>
          <w:rFonts w:ascii="Traditional Arabic" w:hAnsi="Traditional Arabic" w:cs="Traditional Arabic"/>
          <w:b/>
          <w:bCs/>
          <w:sz w:val="32"/>
          <w:szCs w:val="32"/>
          <w:rtl/>
        </w:rPr>
        <w:lastRenderedPageBreak/>
        <w:t>الفصل الثاني: الجمال عند ابن عربي</w:t>
      </w:r>
      <w:bookmarkEnd w:id="4"/>
      <w:r w:rsidR="0020417F">
        <w:rPr>
          <w:rFonts w:ascii="Traditional Arabic" w:hAnsi="Traditional Arabic" w:cs="Traditional Arabic" w:hint="cs"/>
          <w:b/>
          <w:bCs/>
          <w:sz w:val="32"/>
          <w:szCs w:val="32"/>
          <w:rtl/>
        </w:rPr>
        <w:t>.</w:t>
      </w:r>
    </w:p>
    <w:p w14:paraId="69FE393F" w14:textId="70942EE9"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يظهر الجمال عند ابن عربي من خلال الأنساق الجماليّة والتعابير الفنيّة والشعرية التي تحوّل نظرته إلى الوجود بكلّ مراتبه إلى صور فنيّة تنمّ عن قوة الافتتان بحقائق الوجود الجماليّة. والعالم بمجموعه عنده صفة لجمال الحقّ وحسنه، ولم ير</w:t>
      </w:r>
      <w:r w:rsidR="0020417F">
        <w:rPr>
          <w:rFonts w:ascii="Traditional Arabic" w:hAnsi="Traditional Arabic" w:cs="Traditional Arabic" w:hint="cs"/>
          <w:sz w:val="32"/>
          <w:szCs w:val="32"/>
          <w:rtl/>
        </w:rPr>
        <w:t>َ</w:t>
      </w:r>
      <w:r w:rsidRPr="009161E2">
        <w:rPr>
          <w:rFonts w:ascii="Traditional Arabic" w:hAnsi="Traditional Arabic" w:cs="Traditional Arabic"/>
          <w:sz w:val="32"/>
          <w:szCs w:val="32"/>
          <w:rtl/>
        </w:rPr>
        <w:t xml:space="preserve"> للقبح وجودًا أصلًا، فليس العالم سوى ظلّ المطلق، ولا وجود لشيء يمتلك صفة الجمال ذاتي</w:t>
      </w:r>
      <w:r w:rsidR="0020417F">
        <w:rPr>
          <w:rFonts w:ascii="Traditional Arabic" w:hAnsi="Traditional Arabic" w:cs="Traditional Arabic" w:hint="cs"/>
          <w:sz w:val="32"/>
          <w:szCs w:val="32"/>
          <w:rtl/>
        </w:rPr>
        <w:t>ًّ</w:t>
      </w:r>
      <w:r w:rsidRPr="009161E2">
        <w:rPr>
          <w:rFonts w:ascii="Traditional Arabic" w:hAnsi="Traditional Arabic" w:cs="Traditional Arabic"/>
          <w:sz w:val="32"/>
          <w:szCs w:val="32"/>
          <w:rtl/>
        </w:rPr>
        <w:t>ا سواه، لأنّ كلّ شيء خاضع تحت هيمنته، ولذا كان يرى الجمال في هذا الجوهر الذي هام في عشقه.</w:t>
      </w:r>
    </w:p>
    <w:p w14:paraId="58E71946"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"فمن أحبّ العالم لجماله فإنّما أحبّ الله، وليس للحقّ مجلى إلّا العالم وما ثم جميل إلا هو ... فخلق العالم على صورة جماله"</w:t>
      </w:r>
      <w:r w:rsidRPr="009161E2">
        <w:rPr>
          <w:rFonts w:ascii="Traditional Arabic" w:hAnsi="Traditional Arabic" w:cs="Traditional Arabic"/>
          <w:sz w:val="32"/>
          <w:szCs w:val="32"/>
          <w:rtl/>
        </w:rPr>
        <w:footnoteReference w:id="8"/>
      </w:r>
      <w:r w:rsidRPr="009161E2">
        <w:rPr>
          <w:rFonts w:ascii="Traditional Arabic" w:hAnsi="Traditional Arabic" w:cs="Traditional Arabic"/>
          <w:sz w:val="32"/>
          <w:szCs w:val="32"/>
          <w:rtl/>
        </w:rPr>
        <w:t>.</w:t>
      </w:r>
    </w:p>
    <w:p w14:paraId="34C18825"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ولما كانت جماليّات العالم هي التي تنفتح على سطوع الحقّ وسحر بهائه الذي لا ينتهي هام به ابن عربي، وانجذب نحو سيمفونيّة لحن الكون الأخّاذ، ورأى كلّ شيء جميلًا.</w:t>
      </w:r>
    </w:p>
    <w:tbl>
      <w:tblPr>
        <w:tblStyle w:val="TableGrid"/>
        <w:bidiVisual/>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3404"/>
      </w:tblGrid>
      <w:tr w:rsidR="00800565" w:rsidRPr="009161E2" w14:paraId="3E4DCC74" w14:textId="77777777" w:rsidTr="00800565">
        <w:trPr>
          <w:jc w:val="center"/>
        </w:trPr>
        <w:tc>
          <w:tcPr>
            <w:tcW w:w="3684" w:type="dxa"/>
            <w:hideMark/>
          </w:tcPr>
          <w:p w14:paraId="7F90B4A0" w14:textId="77777777" w:rsidR="00800565" w:rsidRPr="009161E2" w:rsidRDefault="00800565" w:rsidP="00CD5FE0">
            <w:pPr>
              <w:bidi/>
              <w:spacing w:before="120" w:after="120"/>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يقول: فكلّ الخلق محبوبي       </w:t>
            </w:r>
          </w:p>
        </w:tc>
        <w:tc>
          <w:tcPr>
            <w:tcW w:w="3404" w:type="dxa"/>
            <w:hideMark/>
          </w:tcPr>
          <w:p w14:paraId="6D6E5F60" w14:textId="77777777" w:rsidR="00800565" w:rsidRPr="009161E2" w:rsidRDefault="00800565" w:rsidP="00CD5FE0">
            <w:pPr>
              <w:bidi/>
              <w:spacing w:before="120" w:after="120"/>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فأين مهيّمي أين؟</w:t>
            </w:r>
            <w:r w:rsidRPr="009161E2">
              <w:rPr>
                <w:rFonts w:ascii="Traditional Arabic" w:hAnsi="Traditional Arabic" w:cs="Traditional Arabic"/>
                <w:sz w:val="32"/>
                <w:szCs w:val="32"/>
                <w:rtl/>
              </w:rPr>
              <w:footnoteReference w:id="9"/>
            </w:r>
          </w:p>
        </w:tc>
      </w:tr>
    </w:tbl>
    <w:p w14:paraId="7EB85FD6" w14:textId="7FD88844" w:rsidR="00800565" w:rsidRPr="009161E2" w:rsidRDefault="00800565" w:rsidP="0020417F">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فالجمال عند ابن عربي نعوت الرحمة والألطاف المتجلّية من الحضرة الإلهيّة. وقد فرق بين نوعين من الجمال: الجمال العرضي، وهو الجمال المتبدّل المتغيّر، وهو صفة من صفات العالم، والجمال المطلق، وهو جمال الله المتمثّل بالكمال الإنساني المتجلّي في هذا العالم بصفته الإنسانيّة، والتي هي "صورة الرحمان".</w:t>
      </w:r>
    </w:p>
    <w:p w14:paraId="02419E8A" w14:textId="30F0A100" w:rsidR="00800565" w:rsidRPr="0020417F"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5" w:name="_Toc61861601"/>
      <w:r w:rsidRPr="0020417F">
        <w:rPr>
          <w:rFonts w:ascii="Traditional Arabic" w:hAnsi="Traditional Arabic" w:cs="Traditional Arabic"/>
          <w:b/>
          <w:bCs/>
          <w:sz w:val="32"/>
          <w:szCs w:val="32"/>
          <w:rtl/>
        </w:rPr>
        <w:t>تساوق الجمال مع العشق الإلهي</w:t>
      </w:r>
      <w:bookmarkEnd w:id="5"/>
      <w:r w:rsidR="0020417F">
        <w:rPr>
          <w:rFonts w:ascii="Traditional Arabic" w:hAnsi="Traditional Arabic" w:cs="Traditional Arabic" w:hint="cs"/>
          <w:b/>
          <w:bCs/>
          <w:sz w:val="32"/>
          <w:szCs w:val="32"/>
          <w:rtl/>
        </w:rPr>
        <w:t>.</w:t>
      </w:r>
    </w:p>
    <w:p w14:paraId="2A6BC91C"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 يذهب ابن عربي إلى أنّ الجمال الإلهي هو القاعدة الأساسيّة للحبّ؛ فجمال الله هو مصدر كلّ أشكال الحبّ. كما أنّه سبب الخَلق وسبب عبادة الإنسان له. ويرى أنّ هناك ثلاثة أنواع من الحبّ: الحبّ الطبيعي، والحبّ الروحي، والحبّ الإلهي، بل إنّ الحبّين الأوّلين هما نوع من الحبّ الإلهي لأنّ الحبّ الإلهي هو الحبّ الأبدي الذي تصدر عنه أنواع الحبّ الأخرى. ويقصد ابن عربي بالحبّ الروحي ذلك الحبّ الصوفي الذي يكون هدفه الأقصى هو الفناء في المعشوق الإلهي.</w:t>
      </w:r>
    </w:p>
    <w:p w14:paraId="040EFAC3" w14:textId="143D4182"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إنّ جماليّة الذوق العرفاني خاصّة في الجمال الإلهي تحكمها صفة الأزليّة، لأنّ جمال الحقّ يتجلّى بجلال جماله، والله لما أراد أن يعرف بإرادته هو في معرفة نفسه في مرآة نفسه، أي الكون، خلق الإنسان في أكمل صورة</w:t>
      </w:r>
      <w:r w:rsidR="0006458E">
        <w:rPr>
          <w:rFonts w:ascii="Traditional Arabic" w:hAnsi="Traditional Arabic" w:cs="Traditional Arabic" w:hint="cs"/>
          <w:sz w:val="32"/>
          <w:szCs w:val="32"/>
          <w:rtl/>
        </w:rPr>
        <w:t>،</w:t>
      </w:r>
      <w:r w:rsidRPr="009161E2">
        <w:rPr>
          <w:rFonts w:ascii="Traditional Arabic" w:hAnsi="Traditional Arabic" w:cs="Traditional Arabic"/>
          <w:sz w:val="32"/>
          <w:szCs w:val="32"/>
          <w:rtl/>
        </w:rPr>
        <w:t xml:space="preserve"> وجعل جمال حسن صورته دليلًا على جمال صانعه. لذلك، فإنّ التجلّي الإلهي يعكس ذوقًا جماليًّا يتمثّل في الحركة العشقيّة التي </w:t>
      </w:r>
      <w:r w:rsidRPr="009161E2">
        <w:rPr>
          <w:rFonts w:ascii="Traditional Arabic" w:hAnsi="Traditional Arabic" w:cs="Traditional Arabic"/>
          <w:sz w:val="32"/>
          <w:szCs w:val="32"/>
          <w:rtl/>
        </w:rPr>
        <w:lastRenderedPageBreak/>
        <w:t>تحصل عند العارف عروجًا نحو الذات الإلهيّة. وهذه الحركة تكون في عالم التغيّر والتبدّل والكثرة، بحيث تعكس كلّ الموجودات في الكون جمال الصور بما في ذلك المرأة والطبيعة. وتكون كلّ الكائنات الوجوديّة حاكية عن تجلّي جمالي للصور الوجوديّة، غير أنّ الذوق الجمالي الإلهي هو الحقيقة الأبديّة، وهو سرّ المناجاة في كتاب التجلّيات حيث يقول ابن عربي: "كم أندرج لك في الروائح فلا تشمّ، وفي الطعوم فلا تطعم لي ذوقًا، ما لك لا تلمسني في الملموسات؟ ما لك لا تدركني في المشمومات؟ ما لك لا تبصرني؟ ما لك لا تسمعني؟ ما لك...؟"</w:t>
      </w:r>
      <w:r w:rsidRPr="009161E2">
        <w:rPr>
          <w:rFonts w:ascii="Traditional Arabic" w:hAnsi="Traditional Arabic" w:cs="Traditional Arabic"/>
          <w:sz w:val="32"/>
          <w:szCs w:val="32"/>
          <w:rtl/>
        </w:rPr>
        <w:footnoteReference w:id="10"/>
      </w:r>
      <w:r w:rsidRPr="009161E2">
        <w:rPr>
          <w:rFonts w:ascii="Traditional Arabic" w:hAnsi="Traditional Arabic" w:cs="Traditional Arabic"/>
          <w:sz w:val="32"/>
          <w:szCs w:val="32"/>
          <w:rtl/>
        </w:rPr>
        <w:t>.</w:t>
      </w:r>
    </w:p>
    <w:p w14:paraId="4DB6CF2D" w14:textId="0D06C3B0" w:rsidR="00800565"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فهناك تجلٍّ جمالي رفيع عند ابن عربي يثبت من خلاله أنّ هناك علاقة اتصال بين الطبيعي والإلهي، وأنّ نقطة الحبّ هي مركز الذوق الجمالي والمجلى للحقيقة الإلهيّة في العالم، لأنّ ابن عربي حينما يتحدّث عن الكائنات الوجوديّة في العالم، أو ما يمثّل الصور بالنسبة إلى العارف، يقول بالكشف والتجلّي الإلهي داخل العالم، فهو استحضار ذوقي وتجلٍّ جمالي للذات الإلهيّة في الكون. </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6458E" w14:paraId="59139522" w14:textId="77777777" w:rsidTr="0006458E">
        <w:tc>
          <w:tcPr>
            <w:tcW w:w="4675" w:type="dxa"/>
          </w:tcPr>
          <w:p w14:paraId="476138AE" w14:textId="39A4B7AE" w:rsidR="0006458E" w:rsidRDefault="0006458E" w:rsidP="0006458E">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فكان عيني فكنت عينه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77C84532" w14:textId="7F275790" w:rsidR="0006458E" w:rsidRDefault="0006458E" w:rsidP="0006458E">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وكان كوني فكنت كونه</w:t>
            </w:r>
            <w:r>
              <w:rPr>
                <w:rFonts w:ascii="Traditional Arabic" w:hAnsi="Traditional Arabic" w:cs="Traditional Arabic"/>
                <w:sz w:val="32"/>
                <w:szCs w:val="32"/>
                <w:rtl/>
              </w:rPr>
              <w:br/>
            </w:r>
          </w:p>
        </w:tc>
      </w:tr>
      <w:tr w:rsidR="0006458E" w14:paraId="2F6FA5A9" w14:textId="77777777" w:rsidTr="0006458E">
        <w:tc>
          <w:tcPr>
            <w:tcW w:w="4675" w:type="dxa"/>
          </w:tcPr>
          <w:p w14:paraId="3071A62F" w14:textId="235728D9" w:rsidR="0006458E" w:rsidRPr="009161E2" w:rsidRDefault="0006458E" w:rsidP="0006458E">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ياعين عيني ويا كون كوني  </w:t>
            </w:r>
            <w:r>
              <w:rPr>
                <w:rFonts w:ascii="Traditional Arabic" w:hAnsi="Traditional Arabic" w:cs="Traditional Arabic"/>
                <w:sz w:val="32"/>
                <w:szCs w:val="32"/>
                <w:rtl/>
              </w:rPr>
              <w:br/>
            </w:r>
          </w:p>
        </w:tc>
        <w:tc>
          <w:tcPr>
            <w:tcW w:w="4675" w:type="dxa"/>
          </w:tcPr>
          <w:p w14:paraId="13012EDE" w14:textId="61C6D848" w:rsidR="0006458E" w:rsidRPr="009161E2" w:rsidRDefault="0006458E" w:rsidP="0006458E">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الكون كونه و العين عينه</w:t>
            </w:r>
            <w:r w:rsidRPr="009161E2">
              <w:rPr>
                <w:rFonts w:ascii="Traditional Arabic" w:hAnsi="Traditional Arabic" w:cs="Traditional Arabic"/>
                <w:sz w:val="32"/>
                <w:szCs w:val="32"/>
                <w:rtl/>
              </w:rPr>
              <w:footnoteReference w:id="11"/>
            </w:r>
            <w:r w:rsidRPr="009161E2">
              <w:rPr>
                <w:rFonts w:ascii="Traditional Arabic" w:hAnsi="Traditional Arabic" w:cs="Traditional Arabic"/>
                <w:sz w:val="32"/>
                <w:szCs w:val="32"/>
                <w:rtl/>
              </w:rPr>
              <w:t> </w:t>
            </w:r>
            <w:r>
              <w:rPr>
                <w:rFonts w:ascii="Traditional Arabic" w:hAnsi="Traditional Arabic" w:cs="Traditional Arabic"/>
                <w:sz w:val="32"/>
                <w:szCs w:val="32"/>
                <w:rtl/>
              </w:rPr>
              <w:br/>
            </w:r>
          </w:p>
        </w:tc>
      </w:tr>
    </w:tbl>
    <w:p w14:paraId="578DF7E6" w14:textId="77777777" w:rsidR="0006458E" w:rsidRPr="009161E2" w:rsidRDefault="0006458E" w:rsidP="0006458E">
      <w:pPr>
        <w:bidi/>
        <w:spacing w:before="120" w:after="120" w:line="240" w:lineRule="auto"/>
        <w:jc w:val="both"/>
        <w:rPr>
          <w:rFonts w:ascii="Traditional Arabic" w:hAnsi="Traditional Arabic" w:cs="Traditional Arabic"/>
          <w:sz w:val="32"/>
          <w:szCs w:val="32"/>
          <w:rtl/>
        </w:rPr>
      </w:pPr>
    </w:p>
    <w:p w14:paraId="4634536F"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من هنا، فإنّ هذا النوع من الذوق والجمال يكمن في الحبّ؛ لأنّ الحبّ الإلهي بالنسبة إلى ابن عربي هو أساس الكشف والتجلّي " كنت كنزًا مخفيًا فأردت أن أُعرف فخلفت آدم فكان آدم عين جلاء المرآة"</w:t>
      </w:r>
      <w:r w:rsidRPr="009161E2">
        <w:rPr>
          <w:rFonts w:ascii="Traditional Arabic" w:hAnsi="Traditional Arabic" w:cs="Traditional Arabic"/>
          <w:sz w:val="32"/>
          <w:szCs w:val="32"/>
          <w:rtl/>
        </w:rPr>
        <w:footnoteReference w:id="12"/>
      </w:r>
      <w:r w:rsidRPr="009161E2">
        <w:rPr>
          <w:rFonts w:ascii="Traditional Arabic" w:hAnsi="Traditional Arabic" w:cs="Traditional Arabic"/>
          <w:sz w:val="32"/>
          <w:szCs w:val="32"/>
          <w:rtl/>
        </w:rPr>
        <w:t>.</w:t>
      </w:r>
    </w:p>
    <w:p w14:paraId="60719573" w14:textId="24643EFD" w:rsidR="00800565" w:rsidRPr="0006458E"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6" w:name="_Toc61861602"/>
      <w:r w:rsidRPr="0006458E">
        <w:rPr>
          <w:rFonts w:ascii="Traditional Arabic" w:hAnsi="Traditional Arabic" w:cs="Traditional Arabic"/>
          <w:b/>
          <w:bCs/>
          <w:sz w:val="32"/>
          <w:szCs w:val="32"/>
          <w:rtl/>
        </w:rPr>
        <w:t>حصول الذوق الجمالي عند العارف بالتجلّي</w:t>
      </w:r>
      <w:bookmarkEnd w:id="6"/>
      <w:r w:rsidR="0006458E">
        <w:rPr>
          <w:rFonts w:ascii="Traditional Arabic" w:hAnsi="Traditional Arabic" w:cs="Traditional Arabic" w:hint="cs"/>
          <w:b/>
          <w:bCs/>
          <w:sz w:val="32"/>
          <w:szCs w:val="32"/>
          <w:rtl/>
        </w:rPr>
        <w:t>.</w:t>
      </w:r>
    </w:p>
    <w:p w14:paraId="007F4B9A"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lastRenderedPageBreak/>
        <w:t>"فيتجلّى لتلك العين بالاسم الجميل فتتعشّق به، فيصير عين ذلك الممكن مظهرًا له"</w:t>
      </w:r>
      <w:r w:rsidRPr="009161E2">
        <w:rPr>
          <w:rFonts w:ascii="Traditional Arabic" w:hAnsi="Traditional Arabic" w:cs="Traditional Arabic"/>
          <w:sz w:val="32"/>
          <w:szCs w:val="32"/>
          <w:rtl/>
        </w:rPr>
        <w:footnoteReference w:id="13"/>
      </w:r>
      <w:r w:rsidRPr="009161E2">
        <w:rPr>
          <w:rFonts w:ascii="Traditional Arabic" w:hAnsi="Traditional Arabic" w:cs="Traditional Arabic"/>
          <w:sz w:val="32"/>
          <w:szCs w:val="32"/>
          <w:rtl/>
        </w:rPr>
        <w:t>. يرى ابن عربي أنّه لا بدّ لكل ّكشف من تجلٍّ؛ فما التجلّي؟ وكيف يحصّل العارف ذوقًا جماليًّا؟</w:t>
      </w:r>
    </w:p>
    <w:p w14:paraId="2E83F8DC"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يقول ابن عربي: "اعلم أنّ التجلّي عند القوم ما ينكشف للقلوب من أنوار الغيوب، وهو على مقامات مختلفة: فمنها ما يتعلّق بأنوار المعاني المجرّدة عن الموادّ من المعارف والأسرار، ومنها ما يتعلّق بأنوار الأنوار، ومنها ما يتعلّق بأنوار الأرواح وهم الملائكة، ومنها ما يتعلّق بأنوار الرياح، ومنها ما يتعلّق بأنوار الطبيعة، ومنها ما يتعلّق بأنوار الأسماء، ومنها ما يتعلّق بأنوار المولّدات والأمهات والعلل والأسباب على مراتبها. فكلّ نور من هذه الأنوار إذا طلع من أفق، ووافق عين البصيرة سالمـًا من العمى والغشي والصداع والرمد وآفات العين كشف بكلّ نور ما انبسط به"</w:t>
      </w:r>
      <w:r w:rsidRPr="009161E2">
        <w:rPr>
          <w:rFonts w:ascii="Traditional Arabic" w:hAnsi="Traditional Arabic" w:cs="Traditional Arabic"/>
          <w:sz w:val="32"/>
          <w:szCs w:val="32"/>
          <w:rtl/>
        </w:rPr>
        <w:footnoteReference w:id="14"/>
      </w:r>
      <w:r w:rsidRPr="009161E2">
        <w:rPr>
          <w:rFonts w:ascii="Traditional Arabic" w:hAnsi="Traditional Arabic" w:cs="Traditional Arabic"/>
          <w:sz w:val="32"/>
          <w:szCs w:val="32"/>
          <w:rtl/>
        </w:rPr>
        <w:t>.</w:t>
      </w:r>
    </w:p>
    <w:p w14:paraId="17EEE651"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والتجلّي عند العرفاء هو ظهور ذات الله وصفاته، وهذا هو التجلّي الرباني، ويسمّى شأنًا إلهيًّا بالنسبة إلى الحقّ سبحانه وتعالى، وحالًا بالنسبة إلى العبد، ولا يخلو ذلك المتجلّي من أن يكون الحاكم عليه اسمًا من أسماء الله تعالى أو وصفًا من أوصافه، فذلك الحاكم هو المتجلّي</w:t>
      </w:r>
      <w:r w:rsidRPr="009161E2">
        <w:rPr>
          <w:rFonts w:ascii="Traditional Arabic" w:hAnsi="Traditional Arabic" w:cs="Traditional Arabic"/>
          <w:sz w:val="32"/>
          <w:szCs w:val="32"/>
          <w:rtl/>
        </w:rPr>
        <w:footnoteReference w:id="15"/>
      </w:r>
      <w:r w:rsidRPr="009161E2">
        <w:rPr>
          <w:rFonts w:ascii="Traditional Arabic" w:hAnsi="Traditional Arabic" w:cs="Traditional Arabic"/>
          <w:sz w:val="32"/>
          <w:szCs w:val="32"/>
          <w:rtl/>
        </w:rPr>
        <w:t xml:space="preserve"> . </w:t>
      </w:r>
    </w:p>
    <w:p w14:paraId="430680F6"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وينقسم التجلّي إلى ثلاثة أقسام:</w:t>
      </w:r>
    </w:p>
    <w:p w14:paraId="6B8E4328"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r w:rsidRPr="0006458E">
        <w:rPr>
          <w:rFonts w:ascii="Traditional Arabic" w:hAnsi="Traditional Arabic" w:cs="Traditional Arabic"/>
          <w:b/>
          <w:bCs/>
          <w:sz w:val="32"/>
          <w:szCs w:val="32"/>
          <w:rtl/>
        </w:rPr>
        <w:t>التجلّي الأوّل</w:t>
      </w:r>
      <w:r w:rsidRPr="009161E2">
        <w:rPr>
          <w:rFonts w:ascii="Traditional Arabic" w:hAnsi="Traditional Arabic" w:cs="Traditional Arabic"/>
          <w:sz w:val="32"/>
          <w:szCs w:val="32"/>
          <w:rtl/>
        </w:rPr>
        <w:t>: هو التجلّي الذاتي، وهي الحضرة الأحديّة التي لا نعت فيها ولا رسم، فالذات هي وجود الحقّ المحض، وما سوى الوجود من حيث هو وجود ليس إلّا العدم المطلق.</w:t>
      </w:r>
    </w:p>
    <w:p w14:paraId="4BB33956" w14:textId="14101980" w:rsidR="00800565" w:rsidRPr="009161E2" w:rsidRDefault="00800565" w:rsidP="00CD5FE0">
      <w:pPr>
        <w:bidi/>
        <w:spacing w:before="120" w:after="120" w:line="240" w:lineRule="auto"/>
        <w:ind w:firstLine="864"/>
        <w:jc w:val="both"/>
        <w:rPr>
          <w:rFonts w:ascii="Traditional Arabic" w:hAnsi="Traditional Arabic" w:cs="Traditional Arabic"/>
          <w:sz w:val="32"/>
          <w:szCs w:val="32"/>
        </w:rPr>
      </w:pPr>
      <w:r w:rsidRPr="00EB6AB3">
        <w:rPr>
          <w:rFonts w:ascii="Traditional Arabic" w:hAnsi="Traditional Arabic" w:cs="Traditional Arabic"/>
          <w:b/>
          <w:bCs/>
          <w:sz w:val="32"/>
          <w:szCs w:val="32"/>
          <w:rtl/>
        </w:rPr>
        <w:t>التجلّي الثاني</w:t>
      </w:r>
      <w:r w:rsidRPr="009161E2">
        <w:rPr>
          <w:rFonts w:ascii="Traditional Arabic" w:hAnsi="Traditional Arabic" w:cs="Traditional Arabic"/>
          <w:sz w:val="32"/>
          <w:szCs w:val="32"/>
          <w:rtl/>
        </w:rPr>
        <w:t xml:space="preserve">: هو الذي يظهر في أعيان الممكنات الثانية التي هي شؤون الذات لذاته تعالى، وهو التعيّن الأوّل بصفة العالميّة والقابليّة. </w:t>
      </w:r>
    </w:p>
    <w:p w14:paraId="35AB6FFC"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Pr>
      </w:pPr>
      <w:r w:rsidRPr="00EB6AB3">
        <w:rPr>
          <w:rFonts w:ascii="Traditional Arabic" w:hAnsi="Traditional Arabic" w:cs="Traditional Arabic"/>
          <w:b/>
          <w:bCs/>
          <w:sz w:val="32"/>
          <w:szCs w:val="32"/>
          <w:rtl/>
        </w:rPr>
        <w:t>التجلّي الثالث</w:t>
      </w:r>
      <w:r w:rsidRPr="009161E2">
        <w:rPr>
          <w:rFonts w:ascii="Traditional Arabic" w:hAnsi="Traditional Arabic" w:cs="Traditional Arabic"/>
          <w:sz w:val="32"/>
          <w:szCs w:val="32"/>
          <w:rtl/>
        </w:rPr>
        <w:t>: هو ظهور الوجود المسمّى بالنور، وهو تجلّي الحقّ بأسمائه في الأكوان التي من صورها، وذلك ظهور نفس الرحمن الذي يوجّه الكلّ"</w:t>
      </w:r>
      <w:r w:rsidRPr="009161E2">
        <w:rPr>
          <w:rFonts w:ascii="Traditional Arabic" w:hAnsi="Traditional Arabic" w:cs="Traditional Arabic"/>
          <w:sz w:val="32"/>
          <w:szCs w:val="32"/>
          <w:rtl/>
        </w:rPr>
        <w:footnoteReference w:id="16"/>
      </w:r>
      <w:r w:rsidRPr="009161E2">
        <w:rPr>
          <w:rFonts w:ascii="Traditional Arabic" w:hAnsi="Traditional Arabic" w:cs="Traditional Arabic"/>
          <w:sz w:val="32"/>
          <w:szCs w:val="32"/>
          <w:rtl/>
        </w:rPr>
        <w:t>.</w:t>
      </w:r>
    </w:p>
    <w:p w14:paraId="0CF3E4ED" w14:textId="48AF1279" w:rsidR="00800565"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إذًا، فالتجلّي هو انكشاف الحقائق الغيبيّة للقلوب من خلال الأنوار الإلهيّة التي تشرق على القلوب المستعدّة لتلقّي الفيوضات وتحصّل المكاشفة والمشاهدة من خلال القلوب المبتعدة عن كلّ ما من شأنه أن يشوبها، ويرين عليها صدأ علائق المادة، حيث يتذوّق العارف جماليّة ذلك النور الذي يقذفه الله في قلب المؤمن العارف بالله، فيطلع على أسرار الموجودات، ويتذوّق من مشاهدته التجلّيات الجماليّة في مختلف تشكّلاتها. فالتجلّيات الإلهيّة تعبّر عن صفات </w:t>
      </w:r>
      <w:r w:rsidRPr="009161E2">
        <w:rPr>
          <w:rFonts w:ascii="Traditional Arabic" w:hAnsi="Traditional Arabic" w:cs="Traditional Arabic"/>
          <w:sz w:val="32"/>
          <w:szCs w:val="32"/>
          <w:rtl/>
        </w:rPr>
        <w:lastRenderedPageBreak/>
        <w:t>الحقّ تعالى المتعدّدة بتعدّد أسمائه التي تنكشف لقلوب العارفين، وفي أعلى مراتب التجلّيات الجماليّة يفنى العبد عن ذاته، ويكون الحقّ سمعه وبصره. والفناء ذوق جمالي يتجلّى بالتخلّي عن الأوصاف المذمومة، والتحلّي بالصفات المحمودة. وعلامة الفناء يتحقّق حينما ينقطع العبد عن الخلق؛ فلا يرى شيئًا غير الله، ويغفل عن نفسه وعن كلّ ما سوى الله تعالى، وعند هذا الانقطاع يتذوّق العبد التجلّيات الإلهيّة بأبهى صورها.</w:t>
      </w:r>
    </w:p>
    <w:tbl>
      <w:tblPr>
        <w:tblStyle w:val="TableGrid"/>
        <w:bidiVisual/>
        <w:tblW w:w="14025"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gridCol w:w="4675"/>
      </w:tblGrid>
      <w:tr w:rsidR="00EB6AB3" w14:paraId="4CD992D2" w14:textId="77777777" w:rsidTr="00EB6AB3">
        <w:tc>
          <w:tcPr>
            <w:tcW w:w="4675" w:type="dxa"/>
          </w:tcPr>
          <w:p w14:paraId="367C2008" w14:textId="23FA90C4" w:rsidR="00EB6AB3" w:rsidRDefault="00EB6AB3" w:rsidP="00EB6AB3">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"الكل هو المعشوق والعاشق حجاب</w:t>
            </w:r>
            <w:r>
              <w:rPr>
                <w:rFonts w:ascii="Traditional Arabic" w:hAnsi="Traditional Arabic" w:cs="Traditional Arabic"/>
                <w:sz w:val="32"/>
                <w:szCs w:val="32"/>
                <w:rtl/>
              </w:rPr>
              <w:br/>
            </w:r>
          </w:p>
        </w:tc>
        <w:tc>
          <w:tcPr>
            <w:tcW w:w="4675" w:type="dxa"/>
          </w:tcPr>
          <w:p w14:paraId="0C9D9414" w14:textId="5E9063A7" w:rsidR="00EB6AB3" w:rsidRDefault="00EB6AB3" w:rsidP="00EB6AB3">
            <w:pPr>
              <w:bidi/>
              <w:spacing w:before="120" w:after="120"/>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والمعشوق حي والعاشق ميّت"</w:t>
            </w:r>
            <w:r w:rsidRPr="009161E2">
              <w:rPr>
                <w:rFonts w:ascii="Traditional Arabic" w:hAnsi="Traditional Arabic" w:cs="Traditional Arabic"/>
                <w:sz w:val="32"/>
                <w:szCs w:val="32"/>
                <w:rtl/>
              </w:rPr>
              <w:footnoteReference w:id="17"/>
            </w:r>
            <w:r w:rsidRPr="009161E2">
              <w:rPr>
                <w:rFonts w:ascii="Traditional Arabic" w:hAnsi="Traditional Arabic" w:cs="Traditional Arabic"/>
                <w:sz w:val="32"/>
                <w:szCs w:val="32"/>
                <w:rtl/>
              </w:rPr>
              <w:t>.</w:t>
            </w:r>
            <w:r>
              <w:rPr>
                <w:rFonts w:ascii="Traditional Arabic" w:hAnsi="Traditional Arabic" w:cs="Traditional Arabic"/>
                <w:sz w:val="32"/>
                <w:szCs w:val="32"/>
                <w:rtl/>
              </w:rPr>
              <w:br/>
            </w:r>
          </w:p>
        </w:tc>
        <w:tc>
          <w:tcPr>
            <w:tcW w:w="4675" w:type="dxa"/>
          </w:tcPr>
          <w:p w14:paraId="52E596DE" w14:textId="15E851FA" w:rsidR="00EB6AB3" w:rsidRDefault="00EB6AB3" w:rsidP="00EB6AB3">
            <w:pPr>
              <w:bidi/>
              <w:spacing w:before="120" w:after="120"/>
              <w:jc w:val="both"/>
              <w:rPr>
                <w:rFonts w:ascii="Traditional Arabic" w:hAnsi="Traditional Arabic" w:cs="Traditional Arabic"/>
                <w:sz w:val="32"/>
                <w:szCs w:val="32"/>
                <w:rtl/>
              </w:rPr>
            </w:pPr>
          </w:p>
        </w:tc>
      </w:tr>
    </w:tbl>
    <w:p w14:paraId="7F649707" w14:textId="77777777" w:rsidR="00EB6AB3" w:rsidRPr="009161E2" w:rsidRDefault="00EB6AB3" w:rsidP="00EB6AB3">
      <w:pPr>
        <w:bidi/>
        <w:spacing w:before="120" w:after="120" w:line="240" w:lineRule="auto"/>
        <w:jc w:val="both"/>
        <w:rPr>
          <w:rFonts w:ascii="Traditional Arabic" w:hAnsi="Traditional Arabic" w:cs="Traditional Arabic"/>
          <w:sz w:val="32"/>
          <w:szCs w:val="32"/>
        </w:rPr>
      </w:pPr>
    </w:p>
    <w:p w14:paraId="68F2AD23" w14:textId="556C8F05" w:rsidR="00800565" w:rsidRDefault="0080056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والاشتياق تعبير عن تجلّيات وجماليّات روحيّة وإلهية حيث يقول:</w:t>
      </w:r>
    </w:p>
    <w:tbl>
      <w:tblPr>
        <w:tblStyle w:val="TableGrid"/>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B6AB3" w14:paraId="59D7EA3C" w14:textId="77777777" w:rsidTr="00EB6AB3">
        <w:tc>
          <w:tcPr>
            <w:tcW w:w="4675" w:type="dxa"/>
          </w:tcPr>
          <w:p w14:paraId="31F0E67F" w14:textId="6C9FE3B8" w:rsidR="00EB6AB3"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لـــــــــــــشــــــــــــــوق يسكــــــــــــــن بـــالـــــــــــــلّقــــــــــــاء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01C76770" w14:textId="4CEFE8B4" w:rsidR="00EB6AB3"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والاشتيـــــــــــاق يهيج بالارتــــــــــقـــاء</w:t>
            </w:r>
            <w:r>
              <w:rPr>
                <w:rFonts w:ascii="Traditional Arabic" w:hAnsi="Traditional Arabic" w:cs="Traditional Arabic"/>
                <w:sz w:val="32"/>
                <w:szCs w:val="32"/>
                <w:rtl/>
              </w:rPr>
              <w:br/>
            </w:r>
          </w:p>
        </w:tc>
      </w:tr>
      <w:tr w:rsidR="00EB6AB3" w14:paraId="5977E431" w14:textId="77777777" w:rsidTr="00EB6AB3">
        <w:tc>
          <w:tcPr>
            <w:tcW w:w="4675" w:type="dxa"/>
          </w:tcPr>
          <w:p w14:paraId="59974E65" w14:textId="2ABF19BC"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لا يـــــــــــــعــــــــــــرف الاشـــــــــتــــيـــــــــاق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1CA74E69" w14:textId="004AFAB2"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إلّا الـــعــــــــــــــشّـــــــــــــــــــاق</w:t>
            </w:r>
            <w:r>
              <w:rPr>
                <w:rFonts w:ascii="Traditional Arabic" w:hAnsi="Traditional Arabic" w:cs="Traditional Arabic"/>
                <w:sz w:val="32"/>
                <w:szCs w:val="32"/>
                <w:rtl/>
              </w:rPr>
              <w:br/>
            </w:r>
          </w:p>
        </w:tc>
      </w:tr>
      <w:tr w:rsidR="00EB6AB3" w14:paraId="3D531D48" w14:textId="77777777" w:rsidTr="00EB6AB3">
        <w:tc>
          <w:tcPr>
            <w:tcW w:w="4675" w:type="dxa"/>
          </w:tcPr>
          <w:p w14:paraId="0E3B0D14" w14:textId="57803762"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فمن سكن باللقاء فما هو بعاشق     </w:t>
            </w:r>
            <w:r>
              <w:rPr>
                <w:rFonts w:ascii="Traditional Arabic" w:hAnsi="Traditional Arabic" w:cs="Traditional Arabic"/>
                <w:sz w:val="32"/>
                <w:szCs w:val="32"/>
                <w:rtl/>
              </w:rPr>
              <w:br/>
            </w:r>
          </w:p>
        </w:tc>
        <w:tc>
          <w:tcPr>
            <w:tcW w:w="4675" w:type="dxa"/>
          </w:tcPr>
          <w:p w14:paraId="0A7172F0" w14:textId="6CD997B2"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عـــــــنـــــــــــد أربــــــــــــاب الحقــــــــــائــــــــــــق</w:t>
            </w:r>
            <w:r>
              <w:rPr>
                <w:rFonts w:ascii="Traditional Arabic" w:hAnsi="Traditional Arabic" w:cs="Traditional Arabic"/>
                <w:sz w:val="32"/>
                <w:szCs w:val="32"/>
                <w:rtl/>
              </w:rPr>
              <w:br/>
            </w:r>
          </w:p>
        </w:tc>
      </w:tr>
      <w:tr w:rsidR="00EB6AB3" w14:paraId="6606D89F" w14:textId="77777777" w:rsidTr="00EB6AB3">
        <w:tc>
          <w:tcPr>
            <w:tcW w:w="4675" w:type="dxa"/>
          </w:tcPr>
          <w:p w14:paraId="5D0D354C" w14:textId="729D81DF"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مـــــــن قــــــــــام بـــــثــــيــــــــــــابـــــــــه الحـــريـــــــق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5EC27B73" w14:textId="1F8C2BBE"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كـــــــــيــــــــــف يــــــــــســـــكــــــــــن</w:t>
            </w:r>
            <w:r>
              <w:rPr>
                <w:rFonts w:ascii="Traditional Arabic" w:hAnsi="Traditional Arabic" w:cs="Traditional Arabic"/>
                <w:sz w:val="32"/>
                <w:szCs w:val="32"/>
                <w:rtl/>
              </w:rPr>
              <w:br/>
            </w:r>
          </w:p>
        </w:tc>
      </w:tr>
      <w:tr w:rsidR="00EB6AB3" w14:paraId="57B5A7E6" w14:textId="77777777" w:rsidTr="00EB6AB3">
        <w:tc>
          <w:tcPr>
            <w:tcW w:w="4675" w:type="dxa"/>
          </w:tcPr>
          <w:p w14:paraId="01B268C3" w14:textId="5F76E8DF"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كـــــــــــيـــــــــــف يــــــصـــــــــــحّ الـــــسكــــــــون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3469BE48" w14:textId="6FD08C79"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وهـــــــــــــــل في العــــــــــــشـــــــق كــــــــمــون</w:t>
            </w:r>
            <w:r>
              <w:rPr>
                <w:rFonts w:ascii="Traditional Arabic" w:hAnsi="Traditional Arabic" w:cs="Traditional Arabic"/>
                <w:sz w:val="32"/>
                <w:szCs w:val="32"/>
                <w:rtl/>
              </w:rPr>
              <w:br/>
            </w:r>
          </w:p>
        </w:tc>
      </w:tr>
      <w:tr w:rsidR="00EB6AB3" w14:paraId="6B89BA84" w14:textId="77777777" w:rsidTr="00EB6AB3">
        <w:tc>
          <w:tcPr>
            <w:tcW w:w="4675" w:type="dxa"/>
          </w:tcPr>
          <w:p w14:paraId="4B95A38C" w14:textId="2EA9F984"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هـــــــــــــو كــــــــــــلّــــــــــــــه ظــــــــــــــــــــــــــهـــــــــــور    </w:t>
            </w:r>
            <w:r>
              <w:rPr>
                <w:rFonts w:ascii="Traditional Arabic" w:hAnsi="Traditional Arabic" w:cs="Traditional Arabic"/>
                <w:sz w:val="32"/>
                <w:szCs w:val="32"/>
                <w:rtl/>
              </w:rPr>
              <w:br/>
            </w:r>
            <w:r w:rsidRPr="009161E2">
              <w:rPr>
                <w:rFonts w:ascii="Traditional Arabic" w:hAnsi="Traditional Arabic" w:cs="Traditional Arabic"/>
                <w:sz w:val="32"/>
                <w:szCs w:val="32"/>
                <w:rtl/>
              </w:rPr>
              <w:t xml:space="preserve">     </w:t>
            </w:r>
          </w:p>
        </w:tc>
        <w:tc>
          <w:tcPr>
            <w:tcW w:w="4675" w:type="dxa"/>
          </w:tcPr>
          <w:p w14:paraId="46B01105" w14:textId="49D604A9" w:rsidR="00EB6AB3" w:rsidRPr="009161E2" w:rsidRDefault="00EB6AB3" w:rsidP="00EB6AB3">
            <w:pPr>
              <w:bidi/>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ومـــــــــــقامـــــــــــه نـــــــــــشـــــــــــــــور</w:t>
            </w:r>
            <w:r>
              <w:rPr>
                <w:rFonts w:ascii="Traditional Arabic" w:hAnsi="Traditional Arabic" w:cs="Traditional Arabic"/>
                <w:sz w:val="32"/>
                <w:szCs w:val="32"/>
                <w:rtl/>
              </w:rPr>
              <w:br/>
            </w:r>
          </w:p>
        </w:tc>
      </w:tr>
    </w:tbl>
    <w:p w14:paraId="7E6D8D99" w14:textId="77777777" w:rsidR="00800565" w:rsidRPr="009161E2" w:rsidRDefault="00800565" w:rsidP="00EB6AB3">
      <w:pPr>
        <w:bidi/>
        <w:spacing w:before="120" w:after="120" w:line="240" w:lineRule="auto"/>
        <w:jc w:val="both"/>
        <w:rPr>
          <w:rFonts w:ascii="Traditional Arabic" w:hAnsi="Traditional Arabic" w:cs="Traditional Arabic"/>
          <w:sz w:val="32"/>
          <w:szCs w:val="32"/>
          <w:rtl/>
        </w:rPr>
      </w:pPr>
    </w:p>
    <w:p w14:paraId="09EF5366" w14:textId="0CE73795" w:rsidR="00304A41" w:rsidRPr="009161E2" w:rsidRDefault="00800565" w:rsidP="0085068A">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وعند قراءة كتاب ترجمان الأشواق، فالملفت أّن ابن عربي أضاء من خلاله على تجربة التجلّيات الجماليّة والكشوفات القلبيّة من خلال العشق الإلهي والتيه الوجودي في السبوحات الإلهيّة، والإنسان الكامل هو المتذوّق لهذا </w:t>
      </w:r>
      <w:r w:rsidRPr="009161E2">
        <w:rPr>
          <w:rFonts w:ascii="Traditional Arabic" w:hAnsi="Traditional Arabic" w:cs="Traditional Arabic"/>
          <w:sz w:val="32"/>
          <w:szCs w:val="32"/>
          <w:rtl/>
        </w:rPr>
        <w:lastRenderedPageBreak/>
        <w:t xml:space="preserve">الجمال المتجلّي. ولمّا كان الله هو غاية هذا التجلّي، فإنّه يتّخد في القلب أشكالًا تختلف باختلاف مدى استعداد القلب لتلقّي الأنوار الإلهيّة والفيوضات الربانيّة. </w:t>
      </w:r>
    </w:p>
    <w:p w14:paraId="3D5F1DC3" w14:textId="15FDA5C6" w:rsidR="005B2A49" w:rsidRPr="0085068A" w:rsidRDefault="00800565" w:rsidP="00CD5FE0">
      <w:pPr>
        <w:bidi/>
        <w:spacing w:before="120" w:after="120" w:line="240" w:lineRule="auto"/>
        <w:ind w:firstLine="864"/>
        <w:jc w:val="both"/>
        <w:rPr>
          <w:rFonts w:ascii="Traditional Arabic" w:hAnsi="Traditional Arabic" w:cs="Traditional Arabic"/>
          <w:b/>
          <w:bCs/>
          <w:sz w:val="32"/>
          <w:szCs w:val="32"/>
          <w:rtl/>
        </w:rPr>
      </w:pPr>
      <w:bookmarkStart w:id="7" w:name="_Toc61861603"/>
      <w:r w:rsidRPr="0085068A">
        <w:rPr>
          <w:rFonts w:ascii="Traditional Arabic" w:hAnsi="Traditional Arabic" w:cs="Traditional Arabic"/>
          <w:b/>
          <w:bCs/>
          <w:sz w:val="32"/>
          <w:szCs w:val="32"/>
          <w:rtl/>
        </w:rPr>
        <w:t>خاتمة</w:t>
      </w:r>
      <w:bookmarkEnd w:id="7"/>
      <w:r w:rsidR="0085068A">
        <w:rPr>
          <w:rFonts w:ascii="Traditional Arabic" w:hAnsi="Traditional Arabic" w:cs="Traditional Arabic" w:hint="cs"/>
          <w:b/>
          <w:bCs/>
          <w:sz w:val="32"/>
          <w:szCs w:val="32"/>
          <w:rtl/>
        </w:rPr>
        <w:t>.</w:t>
      </w:r>
    </w:p>
    <w:p w14:paraId="0505940A" w14:textId="0AB32777" w:rsidR="00AF5959" w:rsidRPr="009161E2" w:rsidRDefault="00065D42"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إنّ </w:t>
      </w:r>
      <w:r w:rsidR="00AF5959" w:rsidRPr="009161E2">
        <w:rPr>
          <w:rFonts w:ascii="Traditional Arabic" w:hAnsi="Traditional Arabic" w:cs="Traditional Arabic"/>
          <w:sz w:val="32"/>
          <w:szCs w:val="32"/>
          <w:rtl/>
        </w:rPr>
        <w:t>علم الجمال ليس علمًا حديث النشأة، بل هو نتاج فكري فلسفيِّ، استمدّ أُصوله من المذاهب الفلسفيّة الميتافيزقيّة القديمة، وتطوّر عبر التاريخ، وبرز بحلّة جديدة بعد الانفتاح الغربي على المشرق العربي، فهو علم قديم بلحاظ وحديث بلحاظ آخر. وهو يدلّ على الخير والحقيقة. وفلسفة الفنّ والجمال نشأت بنشوء الفلسفة، وهي لا تنفصل عنها.</w:t>
      </w:r>
    </w:p>
    <w:p w14:paraId="420D0113" w14:textId="2D43E06C" w:rsidR="000730F5" w:rsidRPr="009161E2" w:rsidRDefault="00142CD2"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 xml:space="preserve">يرى </w:t>
      </w:r>
      <w:r w:rsidR="00800565" w:rsidRPr="009161E2">
        <w:rPr>
          <w:rFonts w:ascii="Traditional Arabic" w:hAnsi="Traditional Arabic" w:cs="Traditional Arabic"/>
          <w:sz w:val="32"/>
          <w:szCs w:val="32"/>
          <w:rtl/>
        </w:rPr>
        <w:t>ابن عربي أنّ الله تعالى هو مطلق الجمال والمصدر الحقيقي له، وأنّ جمال الموجودات تجليّات لجماله ومفاضة عنه، والقبح أمر عارض ولا وجود له إلا في الاعتبار.</w:t>
      </w:r>
      <w:r w:rsidR="0085068A">
        <w:rPr>
          <w:rFonts w:ascii="Traditional Arabic" w:hAnsi="Traditional Arabic" w:cs="Traditional Arabic" w:hint="cs"/>
          <w:sz w:val="32"/>
          <w:szCs w:val="32"/>
          <w:rtl/>
        </w:rPr>
        <w:t xml:space="preserve"> </w:t>
      </w:r>
      <w:r w:rsidRPr="009161E2">
        <w:rPr>
          <w:rFonts w:ascii="Traditional Arabic" w:hAnsi="Traditional Arabic" w:cs="Traditional Arabic"/>
          <w:sz w:val="32"/>
          <w:szCs w:val="32"/>
          <w:rtl/>
        </w:rPr>
        <w:t>والجمال عنده يدور مدار الحب، و</w:t>
      </w:r>
      <w:r w:rsidR="00800565" w:rsidRPr="009161E2">
        <w:rPr>
          <w:rFonts w:ascii="Traditional Arabic" w:hAnsi="Traditional Arabic" w:cs="Traditional Arabic"/>
          <w:sz w:val="32"/>
          <w:szCs w:val="32"/>
          <w:rtl/>
        </w:rPr>
        <w:t>عشق العارف للذات الإلهية تجعله في سير دؤ</w:t>
      </w:r>
      <w:r w:rsidRPr="009161E2">
        <w:rPr>
          <w:rFonts w:ascii="Traditional Arabic" w:hAnsi="Traditional Arabic" w:cs="Traditional Arabic"/>
          <w:sz w:val="32"/>
          <w:szCs w:val="32"/>
          <w:rtl/>
        </w:rPr>
        <w:t>وب لرؤية هذه الذات، ولذلك عشق ك</w:t>
      </w:r>
      <w:r w:rsidR="00800565" w:rsidRPr="009161E2">
        <w:rPr>
          <w:rFonts w:ascii="Traditional Arabic" w:hAnsi="Traditional Arabic" w:cs="Traditional Arabic"/>
          <w:sz w:val="32"/>
          <w:szCs w:val="32"/>
          <w:rtl/>
        </w:rPr>
        <w:t xml:space="preserve">لّ ما تتجلّى فيه، </w:t>
      </w:r>
      <w:r w:rsidRPr="009161E2">
        <w:rPr>
          <w:rFonts w:ascii="Traditional Arabic" w:hAnsi="Traditional Arabic" w:cs="Traditional Arabic"/>
          <w:sz w:val="32"/>
          <w:szCs w:val="32"/>
          <w:rtl/>
        </w:rPr>
        <w:t xml:space="preserve">وكونها لا تتجلّى إلّا في كلّ جميل. </w:t>
      </w:r>
      <w:r w:rsidR="0085068A">
        <w:rPr>
          <w:rFonts w:ascii="Traditional Arabic" w:hAnsi="Traditional Arabic" w:cs="Traditional Arabic" w:hint="cs"/>
          <w:sz w:val="32"/>
          <w:szCs w:val="32"/>
          <w:rtl/>
        </w:rPr>
        <w:t>ا</w:t>
      </w:r>
      <w:r w:rsidR="00800565" w:rsidRPr="009161E2">
        <w:rPr>
          <w:rFonts w:ascii="Traditional Arabic" w:hAnsi="Traditional Arabic" w:cs="Traditional Arabic"/>
          <w:sz w:val="32"/>
          <w:szCs w:val="32"/>
          <w:rtl/>
        </w:rPr>
        <w:t>تخذ العارف من الجمال الحسّي سلّمًا يترقّى به إلى الجمال المطلق.</w:t>
      </w:r>
      <w:r w:rsidR="00800565" w:rsidRPr="009161E2">
        <w:rPr>
          <w:rFonts w:ascii="Traditional Arabic" w:hAnsi="Traditional Arabic" w:cs="Traditional Arabic"/>
          <w:sz w:val="32"/>
          <w:szCs w:val="32"/>
        </w:rPr>
        <w:t> </w:t>
      </w:r>
      <w:r w:rsidRPr="009161E2">
        <w:rPr>
          <w:rFonts w:ascii="Traditional Arabic" w:hAnsi="Traditional Arabic" w:cs="Traditional Arabic"/>
          <w:sz w:val="32"/>
          <w:szCs w:val="32"/>
          <w:rtl/>
        </w:rPr>
        <w:t xml:space="preserve">فهو لا ينظر إلى الجمال بعيدًا عن المطلق الإلهي الغيبي الذي يتحرّك فيه، ولا يعبّر عن إحساسه بالجمال بمعزل عن روعة الكون وتمام الخلق وعظمة الوجود. </w:t>
      </w:r>
      <w:r w:rsidR="00AF5959" w:rsidRPr="009161E2">
        <w:rPr>
          <w:rFonts w:ascii="Traditional Arabic" w:hAnsi="Traditional Arabic" w:cs="Traditional Arabic"/>
          <w:sz w:val="32"/>
          <w:szCs w:val="32"/>
          <w:rtl/>
        </w:rPr>
        <w:t xml:space="preserve">فابن عربي يربط </w:t>
      </w:r>
      <w:r w:rsidRPr="009161E2">
        <w:rPr>
          <w:rFonts w:ascii="Traditional Arabic" w:hAnsi="Traditional Arabic" w:cs="Traditional Arabic"/>
          <w:sz w:val="32"/>
          <w:szCs w:val="32"/>
          <w:rtl/>
        </w:rPr>
        <w:t>في البداية الكشف والتجلّي بعامل مهمّ في سير العارف، وهو الحبّ. وتكون ت</w:t>
      </w:r>
      <w:r w:rsidR="00800565" w:rsidRPr="009161E2">
        <w:rPr>
          <w:rFonts w:ascii="Traditional Arabic" w:hAnsi="Traditional Arabic" w:cs="Traditional Arabic"/>
          <w:sz w:val="32"/>
          <w:szCs w:val="32"/>
          <w:rtl/>
        </w:rPr>
        <w:t>جربة الكشف والتجلّي عند ابن عربي</w:t>
      </w:r>
      <w:r w:rsidRPr="009161E2">
        <w:rPr>
          <w:rFonts w:ascii="Traditional Arabic" w:hAnsi="Traditional Arabic" w:cs="Traditional Arabic"/>
          <w:sz w:val="32"/>
          <w:szCs w:val="32"/>
          <w:rtl/>
        </w:rPr>
        <w:t xml:space="preserve"> هي التي</w:t>
      </w:r>
      <w:r w:rsidR="00800565" w:rsidRPr="009161E2">
        <w:rPr>
          <w:rFonts w:ascii="Traditional Arabic" w:hAnsi="Traditional Arabic" w:cs="Traditional Arabic"/>
          <w:sz w:val="32"/>
          <w:szCs w:val="32"/>
          <w:rtl/>
        </w:rPr>
        <w:t xml:space="preserve"> تكشف في الحقيقة عن ذوق</w:t>
      </w:r>
      <w:r w:rsidRPr="009161E2">
        <w:rPr>
          <w:rFonts w:ascii="Traditional Arabic" w:hAnsi="Traditional Arabic" w:cs="Traditional Arabic"/>
          <w:sz w:val="32"/>
          <w:szCs w:val="32"/>
          <w:rtl/>
        </w:rPr>
        <w:t>ه</w:t>
      </w:r>
      <w:r w:rsidR="00800565" w:rsidRPr="009161E2">
        <w:rPr>
          <w:rFonts w:ascii="Traditional Arabic" w:hAnsi="Traditional Arabic" w:cs="Traditional Arabic"/>
          <w:sz w:val="32"/>
          <w:szCs w:val="32"/>
          <w:rtl/>
        </w:rPr>
        <w:t xml:space="preserve"> </w:t>
      </w:r>
      <w:r w:rsidRPr="009161E2">
        <w:rPr>
          <w:rFonts w:ascii="Traditional Arabic" w:hAnsi="Traditional Arabic" w:cs="Traditional Arabic"/>
          <w:sz w:val="32"/>
          <w:szCs w:val="32"/>
          <w:rtl/>
        </w:rPr>
        <w:t xml:space="preserve">الجمالي </w:t>
      </w:r>
      <w:r w:rsidR="00AF5959" w:rsidRPr="009161E2">
        <w:rPr>
          <w:rFonts w:ascii="Traditional Arabic" w:hAnsi="Traditional Arabic" w:cs="Traditional Arabic"/>
          <w:sz w:val="32"/>
          <w:szCs w:val="32"/>
          <w:rtl/>
        </w:rPr>
        <w:t>الرفيع</w:t>
      </w:r>
      <w:r w:rsidRPr="009161E2">
        <w:rPr>
          <w:rFonts w:ascii="Traditional Arabic" w:hAnsi="Traditional Arabic" w:cs="Traditional Arabic"/>
          <w:sz w:val="32"/>
          <w:szCs w:val="32"/>
          <w:rtl/>
        </w:rPr>
        <w:t xml:space="preserve">. </w:t>
      </w:r>
    </w:p>
    <w:p w14:paraId="07EF0DA6" w14:textId="77777777" w:rsidR="001202AF" w:rsidRPr="009161E2" w:rsidRDefault="000730F5" w:rsidP="00CD5FE0">
      <w:pPr>
        <w:bidi/>
        <w:spacing w:before="120" w:after="120" w:line="240" w:lineRule="auto"/>
        <w:ind w:firstLine="864"/>
        <w:jc w:val="both"/>
        <w:rPr>
          <w:rFonts w:ascii="Traditional Arabic" w:hAnsi="Traditional Arabic" w:cs="Traditional Arabic"/>
          <w:sz w:val="32"/>
          <w:szCs w:val="32"/>
          <w:rtl/>
        </w:rPr>
      </w:pPr>
      <w:r w:rsidRPr="009161E2">
        <w:rPr>
          <w:rFonts w:ascii="Traditional Arabic" w:hAnsi="Traditional Arabic" w:cs="Traditional Arabic"/>
          <w:sz w:val="32"/>
          <w:szCs w:val="32"/>
          <w:rtl/>
        </w:rPr>
        <w:t>وعلى ضوء ما تقدم تبرز الأسئلة التالية:</w:t>
      </w:r>
      <w:r w:rsidR="002F5487" w:rsidRPr="009161E2">
        <w:rPr>
          <w:rFonts w:ascii="Traditional Arabic" w:hAnsi="Traditional Arabic" w:cs="Traditional Arabic"/>
          <w:sz w:val="32"/>
          <w:szCs w:val="32"/>
          <w:rtl/>
        </w:rPr>
        <w:t>كيف تجلّى الذوق الجمالي في فكر ابن عربي، وخاصة على مستوى الشعر؟ وكيف انطلق</w:t>
      </w:r>
      <w:r w:rsidRPr="009161E2">
        <w:rPr>
          <w:rFonts w:ascii="Traditional Arabic" w:hAnsi="Traditional Arabic" w:cs="Traditional Arabic"/>
          <w:sz w:val="32"/>
          <w:szCs w:val="32"/>
          <w:rtl/>
        </w:rPr>
        <w:t xml:space="preserve"> من وحدة الوجود في رؤيته الجماليّة؟</w:t>
      </w:r>
      <w:r w:rsidR="001202AF" w:rsidRPr="009161E2">
        <w:rPr>
          <w:rFonts w:ascii="Traditional Arabic" w:hAnsi="Traditional Arabic" w:cs="Traditional Arabic"/>
          <w:sz w:val="32"/>
          <w:szCs w:val="32"/>
        </w:rPr>
        <w:t xml:space="preserve">  </w:t>
      </w:r>
      <w:r w:rsidR="001202AF" w:rsidRPr="009161E2">
        <w:rPr>
          <w:rFonts w:ascii="Traditional Arabic" w:hAnsi="Traditional Arabic" w:cs="Traditional Arabic"/>
          <w:sz w:val="32"/>
          <w:szCs w:val="32"/>
          <w:rtl/>
        </w:rPr>
        <w:t>وهل هناك من تأثر</w:t>
      </w:r>
      <w:r w:rsidR="001202AF" w:rsidRPr="009161E2">
        <w:rPr>
          <w:rFonts w:ascii="Traditional Arabic" w:hAnsi="Traditional Arabic" w:cs="Traditional Arabic"/>
          <w:sz w:val="32"/>
          <w:szCs w:val="32"/>
        </w:rPr>
        <w:t xml:space="preserve"> </w:t>
      </w:r>
      <w:r w:rsidR="001202AF" w:rsidRPr="009161E2">
        <w:rPr>
          <w:rFonts w:ascii="Traditional Arabic" w:hAnsi="Traditional Arabic" w:cs="Traditional Arabic"/>
          <w:sz w:val="32"/>
          <w:szCs w:val="32"/>
          <w:rtl/>
        </w:rPr>
        <w:t>بفلسفته العرفانيّة من الفلاسفة الغربيين؟</w:t>
      </w:r>
    </w:p>
    <w:p w14:paraId="78EB4150" w14:textId="77777777" w:rsidR="002F5487" w:rsidRPr="009161E2" w:rsidRDefault="002F5487" w:rsidP="00CD5FE0">
      <w:pPr>
        <w:bidi/>
        <w:spacing w:before="120" w:after="120" w:line="240" w:lineRule="auto"/>
        <w:ind w:firstLine="864"/>
        <w:jc w:val="both"/>
        <w:rPr>
          <w:rFonts w:ascii="Traditional Arabic" w:hAnsi="Traditional Arabic" w:cs="Traditional Arabic"/>
          <w:sz w:val="32"/>
          <w:szCs w:val="32"/>
          <w:rtl/>
        </w:rPr>
      </w:pPr>
    </w:p>
    <w:p w14:paraId="74359A1D" w14:textId="77777777" w:rsidR="00800565" w:rsidRPr="009161E2" w:rsidRDefault="00800565" w:rsidP="00CD5FE0">
      <w:pPr>
        <w:bidi/>
        <w:spacing w:before="120" w:after="120" w:line="240" w:lineRule="auto"/>
        <w:ind w:firstLine="864"/>
        <w:jc w:val="both"/>
        <w:rPr>
          <w:rFonts w:ascii="Traditional Arabic" w:hAnsi="Traditional Arabic" w:cs="Traditional Arabic"/>
          <w:sz w:val="32"/>
          <w:szCs w:val="32"/>
          <w:rtl/>
        </w:rPr>
      </w:pPr>
    </w:p>
    <w:p w14:paraId="476634B5" w14:textId="77777777" w:rsidR="00F725CC" w:rsidRPr="009161E2" w:rsidRDefault="00EA65F9" w:rsidP="00CD5FE0">
      <w:pPr>
        <w:bidi/>
        <w:spacing w:before="120" w:after="120" w:line="240" w:lineRule="auto"/>
        <w:ind w:firstLine="864"/>
        <w:jc w:val="both"/>
        <w:rPr>
          <w:rFonts w:ascii="Traditional Arabic" w:hAnsi="Traditional Arabic" w:cs="Traditional Arabic"/>
          <w:sz w:val="32"/>
          <w:szCs w:val="32"/>
        </w:rPr>
      </w:pPr>
    </w:p>
    <w:sectPr w:rsidR="00F725CC" w:rsidRPr="009161E2" w:rsidSect="008F146E">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3DE14" w14:textId="77777777" w:rsidR="00EA65F9" w:rsidRDefault="00EA65F9" w:rsidP="00800565">
      <w:pPr>
        <w:spacing w:after="0" w:line="240" w:lineRule="auto"/>
      </w:pPr>
      <w:r>
        <w:separator/>
      </w:r>
    </w:p>
  </w:endnote>
  <w:endnote w:type="continuationSeparator" w:id="0">
    <w:p w14:paraId="5F505FC7" w14:textId="77777777" w:rsidR="00EA65F9" w:rsidRDefault="00EA65F9" w:rsidP="0080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5614196"/>
      <w:docPartObj>
        <w:docPartGallery w:val="Page Numbers (Bottom of Page)"/>
        <w:docPartUnique/>
      </w:docPartObj>
    </w:sdtPr>
    <w:sdtEndPr>
      <w:rPr>
        <w:noProof/>
      </w:rPr>
    </w:sdtEndPr>
    <w:sdtContent>
      <w:p w14:paraId="4A4C4D65" w14:textId="77777777" w:rsidR="008F146E" w:rsidRDefault="008F146E">
        <w:pPr>
          <w:pStyle w:val="Footer"/>
          <w:jc w:val="center"/>
        </w:pPr>
        <w:r>
          <w:fldChar w:fldCharType="begin"/>
        </w:r>
        <w:r>
          <w:instrText xml:space="preserve"> PAGE   \* MERGEFORMAT </w:instrText>
        </w:r>
        <w:r>
          <w:fldChar w:fldCharType="separate"/>
        </w:r>
        <w:r w:rsidR="001202AF">
          <w:rPr>
            <w:noProof/>
          </w:rPr>
          <w:t>16</w:t>
        </w:r>
        <w:r>
          <w:rPr>
            <w:noProof/>
          </w:rPr>
          <w:fldChar w:fldCharType="end"/>
        </w:r>
      </w:p>
    </w:sdtContent>
  </w:sdt>
  <w:p w14:paraId="6C420723" w14:textId="77777777" w:rsidR="008F146E" w:rsidRDefault="008F1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E4406" w14:textId="77777777" w:rsidR="00EA65F9" w:rsidRDefault="00EA65F9" w:rsidP="00800565">
      <w:pPr>
        <w:spacing w:after="0" w:line="240" w:lineRule="auto"/>
      </w:pPr>
      <w:r>
        <w:separator/>
      </w:r>
    </w:p>
  </w:footnote>
  <w:footnote w:type="continuationSeparator" w:id="0">
    <w:p w14:paraId="1BBC3E66" w14:textId="77777777" w:rsidR="00EA65F9" w:rsidRDefault="00EA65F9" w:rsidP="00800565">
      <w:pPr>
        <w:spacing w:after="0" w:line="240" w:lineRule="auto"/>
      </w:pPr>
      <w:r>
        <w:continuationSeparator/>
      </w:r>
    </w:p>
  </w:footnote>
  <w:footnote w:id="1">
    <w:p w14:paraId="4171C6C7" w14:textId="619B1E16" w:rsidR="006758D1" w:rsidRPr="0038687E" w:rsidRDefault="006758D1" w:rsidP="0038687E">
      <w:pPr>
        <w:pStyle w:val="FootnoteText"/>
        <w:bidi/>
        <w:jc w:val="both"/>
        <w:rPr>
          <w:rFonts w:ascii="Traditional Arabic" w:hAnsi="Traditional Arabic" w:cs="Traditional Arabic"/>
          <w:sz w:val="28"/>
          <w:szCs w:val="28"/>
          <w:rtl/>
          <w:lang w:bidi="ar-LB"/>
        </w:rPr>
      </w:pPr>
      <w:r w:rsidRPr="0038687E">
        <w:rPr>
          <w:rFonts w:ascii="Traditional Arabic" w:hAnsi="Traditional Arabic" w:cs="Traditional Arabic" w:hint="cs"/>
          <w:sz w:val="28"/>
          <w:szCs w:val="28"/>
          <w:rtl/>
          <w:lang w:bidi="ar-LB"/>
        </w:rPr>
        <w:t xml:space="preserve"> </w:t>
      </w:r>
      <w:r w:rsidRPr="0038687E">
        <w:rPr>
          <w:rFonts w:ascii="Traditional Arabic" w:hAnsi="Traditional Arabic" w:cs="Traditional Arabic"/>
          <w:sz w:val="28"/>
          <w:szCs w:val="28"/>
          <w:lang w:bidi="ar-LB"/>
        </w:rPr>
        <w:footnoteRef/>
      </w:r>
      <w:r w:rsidRPr="0038687E">
        <w:rPr>
          <w:rFonts w:ascii="Traditional Arabic" w:hAnsi="Traditional Arabic" w:cs="Traditional Arabic" w:hint="cs"/>
          <w:sz w:val="28"/>
          <w:szCs w:val="28"/>
          <w:rtl/>
          <w:lang w:bidi="ar-LB"/>
        </w:rPr>
        <w:t xml:space="preserve">  </w:t>
      </w:r>
      <w:r w:rsidRPr="0038687E">
        <w:rPr>
          <w:rFonts w:ascii="Traditional Arabic" w:hAnsi="Traditional Arabic" w:cs="Traditional Arabic"/>
          <w:sz w:val="28"/>
          <w:szCs w:val="28"/>
          <w:rtl/>
          <w:lang w:bidi="ar-LB"/>
        </w:rPr>
        <w:t xml:space="preserve">كامل محمد محمد عويضة، </w:t>
      </w:r>
      <w:r w:rsidRPr="0038687E">
        <w:rPr>
          <w:rFonts w:ascii="Traditional Arabic" w:hAnsi="Traditional Arabic" w:cs="Traditional Arabic"/>
          <w:b/>
          <w:bCs/>
          <w:sz w:val="28"/>
          <w:szCs w:val="28"/>
          <w:rtl/>
          <w:lang w:bidi="ar-LB"/>
        </w:rPr>
        <w:t>زينون</w:t>
      </w:r>
      <w:r w:rsidRPr="0038687E">
        <w:rPr>
          <w:rFonts w:ascii="Traditional Arabic" w:hAnsi="Traditional Arabic" w:cs="Traditional Arabic" w:hint="cs"/>
          <w:b/>
          <w:bCs/>
          <w:sz w:val="28"/>
          <w:szCs w:val="28"/>
          <w:rtl/>
          <w:lang w:bidi="ar-LB"/>
        </w:rPr>
        <w:t xml:space="preserve"> </w:t>
      </w:r>
      <w:r w:rsidRPr="0038687E">
        <w:rPr>
          <w:rFonts w:ascii="Traditional Arabic" w:hAnsi="Traditional Arabic" w:cs="Traditional Arabic"/>
          <w:b/>
          <w:bCs/>
          <w:sz w:val="28"/>
          <w:szCs w:val="28"/>
          <w:rtl/>
          <w:lang w:bidi="ar-LB"/>
        </w:rPr>
        <w:t>وما حققته الفلسفة اليونانية</w:t>
      </w:r>
      <w:r w:rsidRPr="0038687E">
        <w:rPr>
          <w:rFonts w:ascii="Traditional Arabic" w:hAnsi="Traditional Arabic" w:cs="Traditional Arabic"/>
          <w:sz w:val="28"/>
          <w:szCs w:val="28"/>
          <w:rtl/>
          <w:lang w:bidi="ar-LB"/>
        </w:rPr>
        <w:t xml:space="preserve">، </w:t>
      </w:r>
      <w:r w:rsidR="00867735" w:rsidRPr="0038687E">
        <w:rPr>
          <w:rFonts w:ascii="Traditional Arabic" w:hAnsi="Traditional Arabic" w:cs="Traditional Arabic" w:hint="cs"/>
          <w:sz w:val="28"/>
          <w:szCs w:val="28"/>
          <w:rtl/>
          <w:lang w:bidi="ar-LB"/>
        </w:rPr>
        <w:t xml:space="preserve">(بيروت: </w:t>
      </w:r>
      <w:r w:rsidRPr="0038687E">
        <w:rPr>
          <w:rFonts w:ascii="Traditional Arabic" w:hAnsi="Traditional Arabic" w:cs="Traditional Arabic"/>
          <w:sz w:val="28"/>
          <w:szCs w:val="28"/>
          <w:rtl/>
          <w:lang w:bidi="ar-LB"/>
        </w:rPr>
        <w:t>دار الكتب العلمية</w:t>
      </w:r>
      <w:r w:rsidR="00867735" w:rsidRPr="0038687E">
        <w:rPr>
          <w:rFonts w:ascii="Traditional Arabic" w:hAnsi="Traditional Arabic" w:cs="Traditional Arabic" w:hint="cs"/>
          <w:sz w:val="28"/>
          <w:szCs w:val="28"/>
          <w:rtl/>
          <w:lang w:bidi="ar-LB"/>
        </w:rPr>
        <w:t xml:space="preserve">)، </w:t>
      </w:r>
      <w:r w:rsidR="00867735" w:rsidRPr="0038687E">
        <w:rPr>
          <w:rFonts w:ascii="Traditional Arabic" w:hAnsi="Traditional Arabic" w:cs="Traditional Arabic"/>
          <w:sz w:val="28"/>
          <w:szCs w:val="28"/>
          <w:rtl/>
          <w:lang w:bidi="ar-LB"/>
        </w:rPr>
        <w:t>الجزء 26</w:t>
      </w:r>
      <w:r w:rsidR="00867735" w:rsidRPr="0038687E">
        <w:rPr>
          <w:rFonts w:ascii="Traditional Arabic" w:hAnsi="Traditional Arabic" w:cs="Traditional Arabic" w:hint="cs"/>
          <w:sz w:val="28"/>
          <w:szCs w:val="28"/>
          <w:rtl/>
          <w:lang w:bidi="ar-LB"/>
        </w:rPr>
        <w:t xml:space="preserve">، </w:t>
      </w:r>
      <w:r w:rsidR="00867735" w:rsidRPr="0038687E">
        <w:rPr>
          <w:rFonts w:ascii="Traditional Arabic" w:hAnsi="Traditional Arabic" w:cs="Traditional Arabic"/>
          <w:sz w:val="28"/>
          <w:szCs w:val="28"/>
          <w:rtl/>
          <w:lang w:bidi="ar-LB"/>
        </w:rPr>
        <w:t>سلسلة أعلام الفلاسفة</w:t>
      </w:r>
      <w:r w:rsidRPr="0038687E">
        <w:rPr>
          <w:rFonts w:ascii="Traditional Arabic" w:hAnsi="Traditional Arabic" w:cs="Traditional Arabic"/>
          <w:sz w:val="28"/>
          <w:szCs w:val="28"/>
          <w:rtl/>
          <w:lang w:bidi="ar-LB"/>
        </w:rPr>
        <w:t>.</w:t>
      </w:r>
    </w:p>
  </w:footnote>
  <w:footnote w:id="2">
    <w:p w14:paraId="44E39855" w14:textId="4F983DB2"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lang w:bidi="ar-LB"/>
        </w:rPr>
        <w:t xml:space="preserve"> ثيوكاريس كيسيديس، هيراقليطس، </w:t>
      </w:r>
      <w:r w:rsidRPr="0038687E">
        <w:rPr>
          <w:rFonts w:ascii="Traditional Arabic" w:hAnsi="Traditional Arabic" w:cs="Traditional Arabic"/>
          <w:b/>
          <w:bCs/>
          <w:sz w:val="28"/>
          <w:szCs w:val="28"/>
          <w:rtl/>
          <w:lang w:bidi="ar-LB"/>
        </w:rPr>
        <w:t>جذور المادية الديالكتيكية</w:t>
      </w:r>
      <w:r w:rsidRPr="0038687E">
        <w:rPr>
          <w:rFonts w:ascii="Traditional Arabic" w:hAnsi="Traditional Arabic" w:cs="Traditional Arabic"/>
          <w:sz w:val="28"/>
          <w:szCs w:val="28"/>
          <w:rtl/>
          <w:lang w:bidi="ar-LB"/>
        </w:rPr>
        <w:t>، ترجمة</w:t>
      </w:r>
      <w:r w:rsidR="00867735" w:rsidRPr="0038687E">
        <w:rPr>
          <w:rFonts w:ascii="Traditional Arabic" w:hAnsi="Traditional Arabic" w:cs="Traditional Arabic" w:hint="cs"/>
          <w:sz w:val="28"/>
          <w:szCs w:val="28"/>
          <w:rtl/>
          <w:lang w:bidi="ar-LB"/>
        </w:rPr>
        <w:t>:</w:t>
      </w:r>
      <w:r w:rsidRPr="0038687E">
        <w:rPr>
          <w:rFonts w:ascii="Traditional Arabic" w:hAnsi="Traditional Arabic" w:cs="Traditional Arabic"/>
          <w:sz w:val="28"/>
          <w:szCs w:val="28"/>
          <w:rtl/>
          <w:lang w:bidi="ar-LB"/>
        </w:rPr>
        <w:t xml:space="preserve"> حاتم سليمان، </w:t>
      </w:r>
      <w:r w:rsidR="00867735" w:rsidRPr="0038687E">
        <w:rPr>
          <w:rFonts w:ascii="Traditional Arabic" w:hAnsi="Traditional Arabic" w:cs="Traditional Arabic" w:hint="cs"/>
          <w:sz w:val="28"/>
          <w:szCs w:val="28"/>
          <w:rtl/>
          <w:lang w:bidi="ar-LB"/>
        </w:rPr>
        <w:t xml:space="preserve">(بيروت: </w:t>
      </w:r>
      <w:r w:rsidRPr="0038687E">
        <w:rPr>
          <w:rFonts w:ascii="Traditional Arabic" w:hAnsi="Traditional Arabic" w:cs="Traditional Arabic"/>
          <w:sz w:val="28"/>
          <w:szCs w:val="28"/>
          <w:rtl/>
          <w:lang w:bidi="ar-LB"/>
        </w:rPr>
        <w:t>دار الفارابي، 2001</w:t>
      </w:r>
      <w:r w:rsidR="00867735" w:rsidRPr="0038687E">
        <w:rPr>
          <w:rFonts w:ascii="Traditional Arabic" w:hAnsi="Traditional Arabic" w:cs="Traditional Arabic" w:hint="cs"/>
          <w:sz w:val="28"/>
          <w:szCs w:val="28"/>
          <w:rtl/>
          <w:lang w:bidi="ar-LB"/>
        </w:rPr>
        <w:t>).</w:t>
      </w:r>
    </w:p>
  </w:footnote>
  <w:footnote w:id="3">
    <w:p w14:paraId="6A57DF20" w14:textId="6B0F671D"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w:t>
      </w:r>
      <w:r w:rsidRPr="0038687E">
        <w:rPr>
          <w:rFonts w:ascii="Traditional Arabic" w:hAnsi="Traditional Arabic" w:cs="Traditional Arabic" w:hint="cs"/>
          <w:sz w:val="28"/>
          <w:szCs w:val="28"/>
          <w:rtl/>
        </w:rPr>
        <w:t xml:space="preserve">مصطفى عبده، </w:t>
      </w:r>
      <w:r w:rsidRPr="0038687E">
        <w:rPr>
          <w:rFonts w:ascii="Traditional Arabic" w:hAnsi="Traditional Arabic" w:cs="Traditional Arabic" w:hint="cs"/>
          <w:b/>
          <w:bCs/>
          <w:sz w:val="28"/>
          <w:szCs w:val="28"/>
          <w:rtl/>
        </w:rPr>
        <w:t>مدخل إلى فلسفة الجمال،</w:t>
      </w:r>
      <w:r w:rsidRPr="0038687E">
        <w:rPr>
          <w:rFonts w:ascii="Traditional Arabic" w:hAnsi="Traditional Arabic" w:cs="Traditional Arabic" w:hint="cs"/>
          <w:sz w:val="28"/>
          <w:szCs w:val="28"/>
          <w:rtl/>
        </w:rPr>
        <w:t xml:space="preserve"> (القاهرة: مكتبة مدبولي،</w:t>
      </w:r>
      <w:r w:rsidR="00E53830" w:rsidRPr="0038687E">
        <w:rPr>
          <w:rFonts w:ascii="Traditional Arabic" w:hAnsi="Traditional Arabic" w:cs="Traditional Arabic" w:hint="cs"/>
          <w:sz w:val="28"/>
          <w:szCs w:val="28"/>
          <w:rtl/>
        </w:rPr>
        <w:t xml:space="preserve"> الطبعة 1،</w:t>
      </w:r>
      <w:r w:rsidRPr="0038687E">
        <w:rPr>
          <w:rFonts w:ascii="Traditional Arabic" w:hAnsi="Traditional Arabic" w:cs="Traditional Arabic" w:hint="cs"/>
          <w:sz w:val="28"/>
          <w:szCs w:val="28"/>
          <w:rtl/>
        </w:rPr>
        <w:t xml:space="preserve"> 1982)، </w:t>
      </w:r>
      <w:r w:rsidR="00C07C56" w:rsidRPr="0038687E">
        <w:rPr>
          <w:rFonts w:ascii="Traditional Arabic" w:hAnsi="Traditional Arabic" w:cs="Traditional Arabic" w:hint="cs"/>
          <w:sz w:val="28"/>
          <w:szCs w:val="28"/>
          <w:rtl/>
        </w:rPr>
        <w:t>ال</w:t>
      </w:r>
      <w:r w:rsidRPr="0038687E">
        <w:rPr>
          <w:rFonts w:ascii="Traditional Arabic" w:hAnsi="Traditional Arabic" w:cs="Traditional Arabic" w:hint="cs"/>
          <w:sz w:val="28"/>
          <w:szCs w:val="28"/>
          <w:rtl/>
        </w:rPr>
        <w:t>ص</w:t>
      </w:r>
      <w:r w:rsidR="00C07C56" w:rsidRPr="0038687E">
        <w:rPr>
          <w:rFonts w:ascii="Traditional Arabic" w:hAnsi="Traditional Arabic" w:cs="Traditional Arabic" w:hint="cs"/>
          <w:sz w:val="28"/>
          <w:szCs w:val="28"/>
          <w:rtl/>
        </w:rPr>
        <w:t>فحة</w:t>
      </w:r>
      <w:r w:rsidRPr="0038687E">
        <w:rPr>
          <w:rFonts w:ascii="Traditional Arabic" w:hAnsi="Traditional Arabic" w:cs="Traditional Arabic" w:hint="cs"/>
          <w:sz w:val="28"/>
          <w:szCs w:val="28"/>
          <w:rtl/>
        </w:rPr>
        <w:t xml:space="preserve"> 111.</w:t>
      </w:r>
    </w:p>
  </w:footnote>
  <w:footnote w:id="4">
    <w:p w14:paraId="4817BE31" w14:textId="699DA184"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Fonts w:ascii="Traditional Arabic" w:hAnsi="Traditional Arabic" w:cs="Traditional Arabic"/>
          <w:sz w:val="28"/>
          <w:szCs w:val="28"/>
          <w:rtl/>
        </w:rPr>
        <w:t xml:space="preserve"> </w:t>
      </w:r>
      <w:r w:rsidRPr="0038687E">
        <w:rPr>
          <w:rStyle w:val="FootnoteReference"/>
          <w:rFonts w:ascii="Traditional Arabic" w:hAnsi="Traditional Arabic" w:cs="Traditional Arabic"/>
          <w:sz w:val="28"/>
          <w:szCs w:val="28"/>
        </w:rPr>
        <w:footnoteRef/>
      </w:r>
      <w:r w:rsidR="0038687E" w:rsidRPr="0038687E">
        <w:rPr>
          <w:rFonts w:ascii="Traditional Arabic" w:hAnsi="Traditional Arabic" w:cs="Traditional Arabic" w:hint="cs"/>
          <w:sz w:val="28"/>
          <w:szCs w:val="28"/>
          <w:rtl/>
        </w:rPr>
        <w:t xml:space="preserve"> </w:t>
      </w:r>
      <w:r w:rsidRPr="0038687E">
        <w:rPr>
          <w:rFonts w:ascii="Traditional Arabic" w:hAnsi="Traditional Arabic" w:cs="Traditional Arabic"/>
          <w:sz w:val="28"/>
          <w:szCs w:val="28"/>
          <w:rtl/>
        </w:rPr>
        <w:t>الإستطيقا</w:t>
      </w:r>
      <w:r w:rsidR="0027057A" w:rsidRPr="0038687E">
        <w:rPr>
          <w:rFonts w:ascii="Traditional Arabic" w:hAnsi="Traditional Arabic" w:cs="Traditional Arabic" w:hint="cs"/>
          <w:sz w:val="28"/>
          <w:szCs w:val="28"/>
          <w:rtl/>
        </w:rPr>
        <w:t>:</w:t>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علم المدرك الحسّي كما أطلقها ألكسيس بومجاردن الذي اعتبر الشيء الجميل ينتج من إدراك الحواس وأنّ الفنّ جمالًا أملي على تصوّر عقلي</w:t>
      </w:r>
      <w:r w:rsidRPr="0038687E">
        <w:rPr>
          <w:rFonts w:ascii="Traditional Arabic" w:hAnsi="Traditional Arabic" w:cs="Traditional Arabic"/>
          <w:sz w:val="28"/>
          <w:szCs w:val="28"/>
        </w:rPr>
        <w:t xml:space="preserve"> . </w:t>
      </w:r>
    </w:p>
  </w:footnote>
  <w:footnote w:id="5">
    <w:p w14:paraId="51E84966" w14:textId="48F3C4C9" w:rsidR="00800565" w:rsidRPr="0038687E" w:rsidRDefault="00800565" w:rsidP="0038687E">
      <w:pPr>
        <w:pStyle w:val="FootnoteText"/>
        <w:tabs>
          <w:tab w:val="left" w:pos="9072"/>
        </w:tabs>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tl/>
        </w:rPr>
        <w:t xml:space="preserve"> </w:t>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أميل برهييه، </w:t>
      </w:r>
      <w:r w:rsidRPr="0038687E">
        <w:rPr>
          <w:rFonts w:ascii="Traditional Arabic" w:hAnsi="Traditional Arabic" w:cs="Traditional Arabic"/>
          <w:b/>
          <w:bCs/>
          <w:sz w:val="28"/>
          <w:szCs w:val="28"/>
          <w:rtl/>
        </w:rPr>
        <w:t>تاريخ الفلسفة</w:t>
      </w:r>
      <w:r w:rsidRPr="0038687E">
        <w:rPr>
          <w:rFonts w:ascii="Traditional Arabic" w:hAnsi="Traditional Arabic" w:cs="Traditional Arabic"/>
          <w:sz w:val="28"/>
          <w:szCs w:val="28"/>
          <w:rtl/>
        </w:rPr>
        <w:t>، ترجمة</w:t>
      </w:r>
      <w:r w:rsidR="00C07C56" w:rsidRPr="0038687E">
        <w:rPr>
          <w:rFonts w:ascii="Traditional Arabic" w:hAnsi="Traditional Arabic" w:cs="Traditional Arabic" w:hint="cs"/>
          <w:sz w:val="28"/>
          <w:szCs w:val="28"/>
          <w:rtl/>
        </w:rPr>
        <w:t>:</w:t>
      </w:r>
      <w:r w:rsidRPr="0038687E">
        <w:rPr>
          <w:rFonts w:ascii="Traditional Arabic" w:hAnsi="Traditional Arabic" w:cs="Traditional Arabic"/>
          <w:sz w:val="28"/>
          <w:szCs w:val="28"/>
          <w:rtl/>
        </w:rPr>
        <w:t xml:space="preserve"> جورج طرابيشي، مجلد القرن التاسع</w:t>
      </w:r>
      <w:r w:rsidR="009430B1" w:rsidRPr="0038687E">
        <w:rPr>
          <w:rFonts w:ascii="Traditional Arabic" w:hAnsi="Traditional Arabic" w:cs="Traditional Arabic"/>
          <w:sz w:val="28"/>
          <w:szCs w:val="28"/>
          <w:rtl/>
        </w:rPr>
        <w:t xml:space="preserve"> عشر (بيروت: دار الطليعة، 1997)</w:t>
      </w:r>
      <w:r w:rsidR="009430B1" w:rsidRPr="0038687E">
        <w:rPr>
          <w:rFonts w:ascii="Traditional Arabic" w:hAnsi="Traditional Arabic" w:cs="Traditional Arabic" w:hint="cs"/>
          <w:sz w:val="28"/>
          <w:szCs w:val="28"/>
          <w:rtl/>
        </w:rPr>
        <w:t>.</w:t>
      </w:r>
      <w:r w:rsidRPr="0038687E">
        <w:rPr>
          <w:rFonts w:ascii="Traditional Arabic" w:hAnsi="Traditional Arabic" w:cs="Traditional Arabic"/>
          <w:sz w:val="28"/>
          <w:szCs w:val="28"/>
          <w:rtl/>
        </w:rPr>
        <w:t xml:space="preserve"> </w:t>
      </w:r>
    </w:p>
  </w:footnote>
  <w:footnote w:id="6">
    <w:p w14:paraId="5754A199" w14:textId="77777777"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سورة </w:t>
      </w:r>
      <w:r w:rsidRPr="0038687E">
        <w:rPr>
          <w:rFonts w:ascii="Traditional Arabic" w:hAnsi="Traditional Arabic" w:cs="Traditional Arabic"/>
          <w:b/>
          <w:bCs/>
          <w:sz w:val="28"/>
          <w:szCs w:val="28"/>
          <w:rtl/>
        </w:rPr>
        <w:t>النور</w:t>
      </w:r>
      <w:r w:rsidRPr="0038687E">
        <w:rPr>
          <w:rFonts w:ascii="Traditional Arabic" w:hAnsi="Traditional Arabic" w:cs="Traditional Arabic"/>
          <w:sz w:val="28"/>
          <w:szCs w:val="28"/>
          <w:rtl/>
        </w:rPr>
        <w:t>، الآية 35.</w:t>
      </w:r>
      <w:r w:rsidRPr="0038687E">
        <w:rPr>
          <w:rFonts w:ascii="Traditional Arabic" w:hAnsi="Traditional Arabic" w:cs="Traditional Arabic"/>
          <w:sz w:val="28"/>
          <w:szCs w:val="28"/>
        </w:rPr>
        <w:t xml:space="preserve"> </w:t>
      </w:r>
    </w:p>
  </w:footnote>
  <w:footnote w:id="7">
    <w:p w14:paraId="64C858BA" w14:textId="3CF96A96" w:rsidR="00800565" w:rsidRPr="0038687E" w:rsidRDefault="00800565" w:rsidP="0038687E">
      <w:pPr>
        <w:pStyle w:val="FootnoteText"/>
        <w:bidi/>
        <w:jc w:val="both"/>
        <w:rPr>
          <w:rFonts w:ascii="Traditional Arabic" w:hAnsi="Traditional Arabic" w:cs="Traditional Arabic"/>
          <w:sz w:val="28"/>
          <w:szCs w:val="28"/>
          <w:rtl/>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w:t>
      </w:r>
      <w:r w:rsidRPr="0038687E">
        <w:rPr>
          <w:rFonts w:ascii="Traditional Arabic" w:hAnsi="Traditional Arabic" w:cs="Traditional Arabic" w:hint="cs"/>
          <w:sz w:val="28"/>
          <w:szCs w:val="28"/>
          <w:rtl/>
        </w:rPr>
        <w:t xml:space="preserve">يوسف زيدان، </w:t>
      </w:r>
      <w:r w:rsidRPr="0038687E">
        <w:rPr>
          <w:rFonts w:ascii="Traditional Arabic" w:hAnsi="Traditional Arabic" w:cs="Traditional Arabic" w:hint="cs"/>
          <w:b/>
          <w:bCs/>
          <w:sz w:val="28"/>
          <w:szCs w:val="28"/>
          <w:rtl/>
        </w:rPr>
        <w:t xml:space="preserve">شعراء الصوفيّة، </w:t>
      </w:r>
      <w:r w:rsidRPr="0038687E">
        <w:rPr>
          <w:rFonts w:ascii="Traditional Arabic" w:hAnsi="Traditional Arabic" w:cs="Traditional Arabic" w:hint="cs"/>
          <w:sz w:val="28"/>
          <w:szCs w:val="28"/>
          <w:rtl/>
        </w:rPr>
        <w:t>(بيروت: دار الجيل،</w:t>
      </w:r>
      <w:r w:rsidR="00C07C56" w:rsidRPr="0038687E">
        <w:rPr>
          <w:rFonts w:ascii="Traditional Arabic" w:hAnsi="Traditional Arabic" w:cs="Traditional Arabic" w:hint="cs"/>
          <w:sz w:val="28"/>
          <w:szCs w:val="28"/>
          <w:rtl/>
        </w:rPr>
        <w:t xml:space="preserve"> ال</w:t>
      </w:r>
      <w:r w:rsidR="00C07C56" w:rsidRPr="0038687E">
        <w:rPr>
          <w:rFonts w:ascii="Traditional Arabic" w:hAnsi="Traditional Arabic" w:cs="Traditional Arabic" w:hint="cs"/>
          <w:sz w:val="28"/>
          <w:szCs w:val="28"/>
          <w:rtl/>
        </w:rPr>
        <w:t>ط</w:t>
      </w:r>
      <w:r w:rsidR="00C07C56" w:rsidRPr="0038687E">
        <w:rPr>
          <w:rFonts w:ascii="Traditional Arabic" w:hAnsi="Traditional Arabic" w:cs="Traditional Arabic" w:hint="cs"/>
          <w:sz w:val="28"/>
          <w:szCs w:val="28"/>
          <w:rtl/>
        </w:rPr>
        <w:t>بعة</w:t>
      </w:r>
      <w:r w:rsidR="00C07C56" w:rsidRPr="0038687E">
        <w:rPr>
          <w:rFonts w:ascii="Traditional Arabic" w:hAnsi="Traditional Arabic" w:cs="Traditional Arabic" w:hint="cs"/>
          <w:sz w:val="28"/>
          <w:szCs w:val="28"/>
          <w:rtl/>
        </w:rPr>
        <w:t xml:space="preserve"> 2</w:t>
      </w:r>
      <w:r w:rsidR="00C07C56" w:rsidRPr="0038687E">
        <w:rPr>
          <w:rFonts w:ascii="Traditional Arabic" w:hAnsi="Traditional Arabic" w:cs="Traditional Arabic" w:hint="cs"/>
          <w:sz w:val="28"/>
          <w:szCs w:val="28"/>
          <w:rtl/>
        </w:rPr>
        <w:t>،</w:t>
      </w:r>
      <w:r w:rsidR="00C07C56" w:rsidRPr="0038687E">
        <w:rPr>
          <w:rFonts w:ascii="Traditional Arabic" w:hAnsi="Traditional Arabic" w:cs="Traditional Arabic" w:hint="cs"/>
          <w:sz w:val="28"/>
          <w:szCs w:val="28"/>
          <w:rtl/>
        </w:rPr>
        <w:t xml:space="preserve"> </w:t>
      </w:r>
      <w:r w:rsidRPr="0038687E">
        <w:rPr>
          <w:rFonts w:ascii="Traditional Arabic" w:hAnsi="Traditional Arabic" w:cs="Traditional Arabic" w:hint="cs"/>
          <w:sz w:val="28"/>
          <w:szCs w:val="28"/>
          <w:rtl/>
        </w:rPr>
        <w:t xml:space="preserve"> 1996)، </w:t>
      </w:r>
      <w:r w:rsidR="00C07C56" w:rsidRPr="0038687E">
        <w:rPr>
          <w:rFonts w:ascii="Traditional Arabic" w:hAnsi="Traditional Arabic" w:cs="Traditional Arabic" w:hint="cs"/>
          <w:sz w:val="28"/>
          <w:szCs w:val="28"/>
          <w:rtl/>
        </w:rPr>
        <w:t>ال</w:t>
      </w:r>
      <w:r w:rsidRPr="0038687E">
        <w:rPr>
          <w:rFonts w:ascii="Traditional Arabic" w:hAnsi="Traditional Arabic" w:cs="Traditional Arabic" w:hint="cs"/>
          <w:sz w:val="28"/>
          <w:szCs w:val="28"/>
          <w:rtl/>
        </w:rPr>
        <w:t>ص</w:t>
      </w:r>
      <w:r w:rsidR="00C07C56" w:rsidRPr="0038687E">
        <w:rPr>
          <w:rFonts w:ascii="Traditional Arabic" w:hAnsi="Traditional Arabic" w:cs="Traditional Arabic" w:hint="cs"/>
          <w:sz w:val="28"/>
          <w:szCs w:val="28"/>
          <w:rtl/>
        </w:rPr>
        <w:t>فحات</w:t>
      </w:r>
      <w:r w:rsidRPr="0038687E">
        <w:rPr>
          <w:rFonts w:ascii="Traditional Arabic" w:hAnsi="Traditional Arabic" w:cs="Traditional Arabic" w:hint="cs"/>
          <w:sz w:val="28"/>
          <w:szCs w:val="28"/>
          <w:rtl/>
        </w:rPr>
        <w:t xml:space="preserve"> 24 – 52.</w:t>
      </w:r>
    </w:p>
  </w:footnote>
  <w:footnote w:id="8">
    <w:p w14:paraId="7500B1DB" w14:textId="4A084D87"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ابن عربي، </w:t>
      </w:r>
      <w:r w:rsidRPr="0038687E">
        <w:rPr>
          <w:rFonts w:ascii="Traditional Arabic" w:hAnsi="Traditional Arabic" w:cs="Traditional Arabic"/>
          <w:b/>
          <w:bCs/>
          <w:sz w:val="28"/>
          <w:szCs w:val="28"/>
          <w:rtl/>
        </w:rPr>
        <w:t>الفتوحات المكية</w:t>
      </w:r>
      <w:r w:rsidRPr="0038687E">
        <w:rPr>
          <w:rFonts w:ascii="Traditional Arabic" w:hAnsi="Traditional Arabic" w:cs="Traditional Arabic"/>
          <w:sz w:val="28"/>
          <w:szCs w:val="28"/>
          <w:rtl/>
        </w:rPr>
        <w:t>، (بيروت: دار الكتب العلميّة،</w:t>
      </w:r>
      <w:r w:rsidR="006D2C3D" w:rsidRPr="0038687E">
        <w:rPr>
          <w:rFonts w:ascii="Traditional Arabic" w:hAnsi="Traditional Arabic" w:cs="Traditional Arabic" w:hint="cs"/>
          <w:sz w:val="28"/>
          <w:szCs w:val="28"/>
          <w:rtl/>
        </w:rPr>
        <w:t xml:space="preserve"> ال</w:t>
      </w:r>
      <w:r w:rsidR="006D2C3D" w:rsidRPr="0038687E">
        <w:rPr>
          <w:rFonts w:ascii="Traditional Arabic" w:hAnsi="Traditional Arabic" w:cs="Traditional Arabic" w:hint="cs"/>
          <w:sz w:val="28"/>
          <w:szCs w:val="28"/>
          <w:rtl/>
        </w:rPr>
        <w:t>ط</w:t>
      </w:r>
      <w:r w:rsidR="006D2C3D" w:rsidRPr="0038687E">
        <w:rPr>
          <w:rFonts w:ascii="Traditional Arabic" w:hAnsi="Traditional Arabic" w:cs="Traditional Arabic" w:hint="cs"/>
          <w:sz w:val="28"/>
          <w:szCs w:val="28"/>
          <w:rtl/>
        </w:rPr>
        <w:t>بعة</w:t>
      </w:r>
      <w:r w:rsidR="006D2C3D" w:rsidRPr="0038687E">
        <w:rPr>
          <w:rFonts w:ascii="Traditional Arabic" w:hAnsi="Traditional Arabic" w:cs="Traditional Arabic" w:hint="cs"/>
          <w:sz w:val="28"/>
          <w:szCs w:val="28"/>
          <w:rtl/>
        </w:rPr>
        <w:t xml:space="preserve"> 2</w:t>
      </w:r>
      <w:r w:rsidR="006D2C3D" w:rsidRPr="0038687E">
        <w:rPr>
          <w:rFonts w:ascii="Traditional Arabic" w:hAnsi="Traditional Arabic" w:cs="Traditional Arabic" w:hint="cs"/>
          <w:sz w:val="28"/>
          <w:szCs w:val="28"/>
          <w:rtl/>
        </w:rPr>
        <w:t>،</w:t>
      </w:r>
      <w:r w:rsidRPr="0038687E">
        <w:rPr>
          <w:rFonts w:ascii="Traditional Arabic" w:hAnsi="Traditional Arabic" w:cs="Traditional Arabic"/>
          <w:sz w:val="28"/>
          <w:szCs w:val="28"/>
          <w:rtl/>
        </w:rPr>
        <w:t xml:space="preserve"> 2006)، </w:t>
      </w:r>
      <w:r w:rsidR="006D2C3D"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ج</w:t>
      </w:r>
      <w:r w:rsidR="006D2C3D" w:rsidRPr="0038687E">
        <w:rPr>
          <w:rFonts w:ascii="Traditional Arabic" w:hAnsi="Traditional Arabic" w:cs="Traditional Arabic" w:hint="cs"/>
          <w:sz w:val="28"/>
          <w:szCs w:val="28"/>
          <w:rtl/>
        </w:rPr>
        <w:t>زء</w:t>
      </w:r>
      <w:r w:rsidRPr="0038687E">
        <w:rPr>
          <w:rFonts w:ascii="Traditional Arabic" w:hAnsi="Traditional Arabic" w:cs="Traditional Arabic"/>
          <w:sz w:val="28"/>
          <w:szCs w:val="28"/>
          <w:rtl/>
        </w:rPr>
        <w:t xml:space="preserve"> 7، </w:t>
      </w:r>
      <w:r w:rsidR="006D2C3D"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6D2C3D"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295.</w:t>
      </w:r>
      <w:r w:rsidRPr="0038687E">
        <w:rPr>
          <w:rFonts w:ascii="Traditional Arabic" w:hAnsi="Traditional Arabic" w:cs="Traditional Arabic"/>
          <w:sz w:val="28"/>
          <w:szCs w:val="28"/>
        </w:rPr>
        <w:t xml:space="preserve"> </w:t>
      </w:r>
    </w:p>
  </w:footnote>
  <w:footnote w:id="9">
    <w:p w14:paraId="36B41A0B" w14:textId="4A1FF562"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tl/>
          <w:lang w:bidi="ar-LB"/>
        </w:rPr>
        <w:t xml:space="preserve"> </w:t>
      </w:r>
      <w:r w:rsidR="006D2C3D" w:rsidRPr="0038687E">
        <w:rPr>
          <w:rFonts w:ascii="Traditional Arabic" w:hAnsi="Traditional Arabic" w:cs="Traditional Arabic" w:hint="cs"/>
          <w:sz w:val="28"/>
          <w:szCs w:val="28"/>
          <w:rtl/>
          <w:lang w:bidi="ar-LB"/>
        </w:rPr>
        <w:t>المصدر نفسه</w:t>
      </w:r>
      <w:r w:rsidRPr="0038687E">
        <w:rPr>
          <w:rFonts w:ascii="Traditional Arabic" w:hAnsi="Traditional Arabic" w:cs="Traditional Arabic"/>
          <w:sz w:val="28"/>
          <w:szCs w:val="28"/>
          <w:rtl/>
          <w:lang w:bidi="ar-LB"/>
        </w:rPr>
        <w:t xml:space="preserve">، </w:t>
      </w:r>
      <w:r w:rsidR="006D2C3D" w:rsidRPr="0038687E">
        <w:rPr>
          <w:rFonts w:ascii="Traditional Arabic" w:hAnsi="Traditional Arabic" w:cs="Traditional Arabic" w:hint="cs"/>
          <w:sz w:val="28"/>
          <w:szCs w:val="28"/>
          <w:rtl/>
          <w:lang w:bidi="ar-LB"/>
        </w:rPr>
        <w:t>ال</w:t>
      </w:r>
      <w:r w:rsidRPr="0038687E">
        <w:rPr>
          <w:rFonts w:ascii="Traditional Arabic" w:hAnsi="Traditional Arabic" w:cs="Traditional Arabic"/>
          <w:sz w:val="28"/>
          <w:szCs w:val="28"/>
          <w:rtl/>
          <w:lang w:bidi="ar-LB"/>
        </w:rPr>
        <w:t>ج</w:t>
      </w:r>
      <w:r w:rsidR="006D2C3D" w:rsidRPr="0038687E">
        <w:rPr>
          <w:rFonts w:ascii="Traditional Arabic" w:hAnsi="Traditional Arabic" w:cs="Traditional Arabic" w:hint="cs"/>
          <w:sz w:val="28"/>
          <w:szCs w:val="28"/>
          <w:rtl/>
          <w:lang w:bidi="ar-LB"/>
        </w:rPr>
        <w:t>زء</w:t>
      </w:r>
      <w:r w:rsidRPr="0038687E">
        <w:rPr>
          <w:rFonts w:ascii="Traditional Arabic" w:hAnsi="Traditional Arabic" w:cs="Traditional Arabic"/>
          <w:sz w:val="28"/>
          <w:szCs w:val="28"/>
          <w:rtl/>
          <w:lang w:bidi="ar-LB"/>
        </w:rPr>
        <w:t xml:space="preserve"> 6، </w:t>
      </w:r>
      <w:r w:rsidR="006D2C3D" w:rsidRPr="0038687E">
        <w:rPr>
          <w:rFonts w:ascii="Traditional Arabic" w:hAnsi="Traditional Arabic" w:cs="Traditional Arabic" w:hint="cs"/>
          <w:sz w:val="28"/>
          <w:szCs w:val="28"/>
          <w:rtl/>
          <w:lang w:bidi="ar-LB"/>
        </w:rPr>
        <w:t>ال</w:t>
      </w:r>
      <w:r w:rsidRPr="0038687E">
        <w:rPr>
          <w:rFonts w:ascii="Traditional Arabic" w:hAnsi="Traditional Arabic" w:cs="Traditional Arabic"/>
          <w:sz w:val="28"/>
          <w:szCs w:val="28"/>
          <w:rtl/>
          <w:lang w:bidi="ar-LB"/>
        </w:rPr>
        <w:t>ص</w:t>
      </w:r>
      <w:r w:rsidR="006D2C3D" w:rsidRPr="0038687E">
        <w:rPr>
          <w:rFonts w:ascii="Traditional Arabic" w:hAnsi="Traditional Arabic" w:cs="Traditional Arabic" w:hint="cs"/>
          <w:sz w:val="28"/>
          <w:szCs w:val="28"/>
          <w:rtl/>
          <w:lang w:bidi="ar-LB"/>
        </w:rPr>
        <w:t>فحة</w:t>
      </w:r>
      <w:r w:rsidRPr="0038687E">
        <w:rPr>
          <w:rFonts w:ascii="Traditional Arabic" w:hAnsi="Traditional Arabic" w:cs="Traditional Arabic"/>
          <w:sz w:val="28"/>
          <w:szCs w:val="28"/>
          <w:rtl/>
          <w:lang w:bidi="ar-LB"/>
        </w:rPr>
        <w:t xml:space="preserve"> 224.</w:t>
      </w:r>
    </w:p>
  </w:footnote>
  <w:footnote w:id="10">
    <w:p w14:paraId="3657D8A9" w14:textId="1BA7ABC2"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w:t>
      </w:r>
      <w:r w:rsidRPr="0038687E">
        <w:rPr>
          <w:rFonts w:ascii="Traditional Arabic" w:hAnsi="Traditional Arabic" w:cs="Traditional Arabic" w:hint="cs"/>
          <w:b/>
          <w:bCs/>
          <w:sz w:val="28"/>
          <w:szCs w:val="28"/>
          <w:rtl/>
        </w:rPr>
        <w:t>الفتوحات المكيّة</w:t>
      </w:r>
      <w:r w:rsidRPr="0038687E">
        <w:rPr>
          <w:rFonts w:ascii="Traditional Arabic" w:hAnsi="Traditional Arabic" w:cs="Traditional Arabic" w:hint="cs"/>
          <w:sz w:val="28"/>
          <w:szCs w:val="28"/>
          <w:rtl/>
        </w:rPr>
        <w:t>، م</w:t>
      </w:r>
      <w:r w:rsidR="00A42EC2" w:rsidRPr="0038687E">
        <w:rPr>
          <w:rFonts w:ascii="Traditional Arabic" w:hAnsi="Traditional Arabic" w:cs="Traditional Arabic" w:hint="cs"/>
          <w:sz w:val="28"/>
          <w:szCs w:val="28"/>
          <w:rtl/>
        </w:rPr>
        <w:t xml:space="preserve">صدر </w:t>
      </w:r>
      <w:r w:rsidRPr="0038687E">
        <w:rPr>
          <w:rFonts w:ascii="Traditional Arabic" w:hAnsi="Traditional Arabic" w:cs="Traditional Arabic" w:hint="cs"/>
          <w:sz w:val="28"/>
          <w:szCs w:val="28"/>
          <w:rtl/>
        </w:rPr>
        <w:t>س</w:t>
      </w:r>
      <w:r w:rsidR="00A42EC2" w:rsidRPr="0038687E">
        <w:rPr>
          <w:rFonts w:ascii="Traditional Arabic" w:hAnsi="Traditional Arabic" w:cs="Traditional Arabic" w:hint="cs"/>
          <w:sz w:val="28"/>
          <w:szCs w:val="28"/>
          <w:rtl/>
        </w:rPr>
        <w:t>ابق</w:t>
      </w:r>
      <w:r w:rsidRPr="0038687E">
        <w:rPr>
          <w:rFonts w:ascii="Traditional Arabic" w:hAnsi="Traditional Arabic" w:cs="Traditional Arabic" w:hint="cs"/>
          <w:sz w:val="28"/>
          <w:szCs w:val="28"/>
          <w:rtl/>
        </w:rPr>
        <w:t xml:space="preserve">،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hint="cs"/>
          <w:sz w:val="28"/>
          <w:szCs w:val="28"/>
          <w:rtl/>
        </w:rPr>
        <w:t>ج</w:t>
      </w:r>
      <w:r w:rsidR="00A42EC2" w:rsidRPr="0038687E">
        <w:rPr>
          <w:rFonts w:ascii="Traditional Arabic" w:hAnsi="Traditional Arabic" w:cs="Traditional Arabic" w:hint="cs"/>
          <w:sz w:val="28"/>
          <w:szCs w:val="28"/>
          <w:rtl/>
        </w:rPr>
        <w:t>زء</w:t>
      </w:r>
      <w:r w:rsidRPr="0038687E">
        <w:rPr>
          <w:rFonts w:ascii="Traditional Arabic" w:hAnsi="Traditional Arabic" w:cs="Traditional Arabic" w:hint="cs"/>
          <w:sz w:val="28"/>
          <w:szCs w:val="28"/>
          <w:rtl/>
        </w:rPr>
        <w:t xml:space="preserve"> 3،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hint="cs"/>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hint="cs"/>
          <w:sz w:val="28"/>
          <w:szCs w:val="28"/>
          <w:rtl/>
        </w:rPr>
        <w:t xml:space="preserve"> 145.</w:t>
      </w:r>
    </w:p>
  </w:footnote>
  <w:footnote w:id="11">
    <w:p w14:paraId="474C4F61" w14:textId="797B4895" w:rsidR="0006458E" w:rsidRPr="0038687E" w:rsidRDefault="0006458E"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lang w:bidi="ar-LB"/>
        </w:rPr>
        <w:t xml:space="preserve"> </w:t>
      </w:r>
      <w:r w:rsidRPr="0038687E">
        <w:rPr>
          <w:rFonts w:ascii="Traditional Arabic" w:hAnsi="Traditional Arabic" w:cs="Traditional Arabic" w:hint="cs"/>
          <w:sz w:val="28"/>
          <w:szCs w:val="28"/>
          <w:rtl/>
          <w:lang w:bidi="ar-LB"/>
        </w:rPr>
        <w:t xml:space="preserve">- سهيلة عبد الباعث الترجمان، </w:t>
      </w:r>
      <w:r w:rsidRPr="0038687E">
        <w:rPr>
          <w:rFonts w:ascii="Traditional Arabic" w:hAnsi="Traditional Arabic" w:cs="Traditional Arabic" w:hint="cs"/>
          <w:b/>
          <w:bCs/>
          <w:sz w:val="28"/>
          <w:szCs w:val="28"/>
          <w:rtl/>
          <w:lang w:bidi="ar-LB"/>
        </w:rPr>
        <w:t>نظرية وحدة الوجود بين ابن عربي والجيلي</w:t>
      </w:r>
      <w:r w:rsidRPr="0038687E">
        <w:rPr>
          <w:rFonts w:ascii="Traditional Arabic" w:hAnsi="Traditional Arabic" w:cs="Traditional Arabic" w:hint="cs"/>
          <w:sz w:val="28"/>
          <w:szCs w:val="28"/>
          <w:rtl/>
          <w:lang w:bidi="ar-LB"/>
        </w:rPr>
        <w:t>، (منشورات خزعل،</w:t>
      </w:r>
      <w:r w:rsidR="00A42EC2" w:rsidRPr="0038687E">
        <w:rPr>
          <w:rFonts w:ascii="Traditional Arabic" w:hAnsi="Traditional Arabic" w:cs="Traditional Arabic" w:hint="cs"/>
          <w:sz w:val="28"/>
          <w:szCs w:val="28"/>
          <w:rtl/>
          <w:lang w:bidi="ar-LB"/>
        </w:rPr>
        <w:t xml:space="preserve"> الطبعة 1،</w:t>
      </w:r>
      <w:r w:rsidRPr="0038687E">
        <w:rPr>
          <w:rFonts w:ascii="Traditional Arabic" w:hAnsi="Traditional Arabic" w:cs="Traditional Arabic" w:hint="cs"/>
          <w:sz w:val="28"/>
          <w:szCs w:val="28"/>
          <w:rtl/>
          <w:lang w:bidi="ar-LB"/>
        </w:rPr>
        <w:t xml:space="preserve"> 2002)، </w:t>
      </w:r>
      <w:r w:rsidR="00A42EC2" w:rsidRPr="0038687E">
        <w:rPr>
          <w:rFonts w:ascii="Traditional Arabic" w:hAnsi="Traditional Arabic" w:cs="Traditional Arabic" w:hint="cs"/>
          <w:sz w:val="28"/>
          <w:szCs w:val="28"/>
          <w:rtl/>
          <w:lang w:bidi="ar-LB"/>
        </w:rPr>
        <w:t>ال</w:t>
      </w:r>
      <w:r w:rsidRPr="0038687E">
        <w:rPr>
          <w:rFonts w:ascii="Traditional Arabic" w:hAnsi="Traditional Arabic" w:cs="Traditional Arabic" w:hint="cs"/>
          <w:sz w:val="28"/>
          <w:szCs w:val="28"/>
          <w:rtl/>
          <w:lang w:bidi="ar-LB"/>
        </w:rPr>
        <w:t>ص</w:t>
      </w:r>
      <w:r w:rsidR="00A42EC2" w:rsidRPr="0038687E">
        <w:rPr>
          <w:rFonts w:ascii="Traditional Arabic" w:hAnsi="Traditional Arabic" w:cs="Traditional Arabic" w:hint="cs"/>
          <w:sz w:val="28"/>
          <w:szCs w:val="28"/>
          <w:rtl/>
          <w:lang w:bidi="ar-LB"/>
        </w:rPr>
        <w:t>فحة</w:t>
      </w:r>
      <w:r w:rsidRPr="0038687E">
        <w:rPr>
          <w:rFonts w:ascii="Traditional Arabic" w:hAnsi="Traditional Arabic" w:cs="Traditional Arabic" w:hint="cs"/>
          <w:sz w:val="28"/>
          <w:szCs w:val="28"/>
          <w:rtl/>
          <w:lang w:bidi="ar-LB"/>
        </w:rPr>
        <w:t xml:space="preserve"> 601.</w:t>
      </w:r>
    </w:p>
  </w:footnote>
  <w:footnote w:id="12">
    <w:p w14:paraId="4EAB70A2" w14:textId="7A68826E"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tl/>
        </w:rPr>
        <w:t xml:space="preserve">- ابن عربي، </w:t>
      </w:r>
      <w:r w:rsidRPr="0038687E">
        <w:rPr>
          <w:rFonts w:ascii="Traditional Arabic" w:hAnsi="Traditional Arabic" w:cs="Traditional Arabic"/>
          <w:b/>
          <w:bCs/>
          <w:sz w:val="28"/>
          <w:szCs w:val="28"/>
          <w:rtl/>
        </w:rPr>
        <w:t>فصوص الحكم</w:t>
      </w:r>
      <w:r w:rsidRPr="0038687E">
        <w:rPr>
          <w:rFonts w:ascii="Traditional Arabic" w:hAnsi="Traditional Arabic" w:cs="Traditional Arabic"/>
          <w:sz w:val="28"/>
          <w:szCs w:val="28"/>
          <w:rtl/>
        </w:rPr>
        <w:t>، شرح الشيخ عبد الرزاق الكاشاني، (مؤسسة التاريخ العربي،</w:t>
      </w:r>
      <w:r w:rsidR="00A42EC2" w:rsidRPr="0038687E">
        <w:rPr>
          <w:rFonts w:ascii="Traditional Arabic" w:hAnsi="Traditional Arabic" w:cs="Traditional Arabic" w:hint="cs"/>
          <w:sz w:val="28"/>
          <w:szCs w:val="28"/>
          <w:rtl/>
        </w:rPr>
        <w:t xml:space="preserve"> الطبعة 1،</w:t>
      </w:r>
      <w:r w:rsidRPr="0038687E">
        <w:rPr>
          <w:rFonts w:ascii="Traditional Arabic" w:hAnsi="Traditional Arabic" w:cs="Traditional Arabic"/>
          <w:sz w:val="28"/>
          <w:szCs w:val="28"/>
          <w:rtl/>
        </w:rPr>
        <w:t xml:space="preserve"> 2006)،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344، الفصّ الآدمي.</w:t>
      </w:r>
    </w:p>
  </w:footnote>
  <w:footnote w:id="13">
    <w:p w14:paraId="220CE0A7" w14:textId="411FC5B7"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ابن عربي، </w:t>
      </w:r>
      <w:r w:rsidRPr="0038687E">
        <w:rPr>
          <w:rFonts w:ascii="Traditional Arabic" w:hAnsi="Traditional Arabic" w:cs="Traditional Arabic"/>
          <w:b/>
          <w:bCs/>
          <w:sz w:val="28"/>
          <w:szCs w:val="28"/>
          <w:rtl/>
        </w:rPr>
        <w:t>كتاب الجلالة ضمن رسائل ابن عربي</w:t>
      </w:r>
      <w:r w:rsidRPr="0038687E">
        <w:rPr>
          <w:rFonts w:ascii="Traditional Arabic" w:hAnsi="Traditional Arabic" w:cs="Traditional Arabic"/>
          <w:sz w:val="28"/>
          <w:szCs w:val="28"/>
          <w:rtl/>
        </w:rPr>
        <w:t>، (بيروت: دار إحياء الثرات العربي،</w:t>
      </w:r>
      <w:r w:rsidR="00A42EC2" w:rsidRPr="0038687E">
        <w:rPr>
          <w:rFonts w:ascii="Traditional Arabic" w:hAnsi="Traditional Arabic" w:cs="Traditional Arabic" w:hint="cs"/>
          <w:sz w:val="28"/>
          <w:szCs w:val="28"/>
          <w:rtl/>
        </w:rPr>
        <w:t xml:space="preserve"> الطبعة 1،</w:t>
      </w:r>
      <w:r w:rsidRPr="0038687E">
        <w:rPr>
          <w:rFonts w:ascii="Traditional Arabic" w:hAnsi="Traditional Arabic" w:cs="Traditional Arabic"/>
          <w:sz w:val="28"/>
          <w:szCs w:val="28"/>
          <w:rtl/>
        </w:rPr>
        <w:t xml:space="preserve"> 1984)،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137. </w:t>
      </w:r>
    </w:p>
  </w:footnote>
  <w:footnote w:id="14">
    <w:p w14:paraId="63132C6D" w14:textId="03C6D0F9"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b/>
          <w:bCs/>
          <w:sz w:val="28"/>
          <w:szCs w:val="28"/>
          <w:rtl/>
        </w:rPr>
        <w:t>الفتوحات المكيّة</w:t>
      </w:r>
      <w:r w:rsidRPr="0038687E">
        <w:rPr>
          <w:rFonts w:ascii="Traditional Arabic" w:hAnsi="Traditional Arabic" w:cs="Traditional Arabic"/>
          <w:sz w:val="28"/>
          <w:szCs w:val="28"/>
          <w:rtl/>
        </w:rPr>
        <w:t>، م</w:t>
      </w:r>
      <w:r w:rsidR="00A42EC2" w:rsidRPr="0038687E">
        <w:rPr>
          <w:rFonts w:ascii="Traditional Arabic" w:hAnsi="Traditional Arabic" w:cs="Traditional Arabic" w:hint="cs"/>
          <w:sz w:val="28"/>
          <w:szCs w:val="28"/>
          <w:rtl/>
        </w:rPr>
        <w:t xml:space="preserve">صدر </w:t>
      </w:r>
      <w:r w:rsidRPr="0038687E">
        <w:rPr>
          <w:rFonts w:ascii="Traditional Arabic" w:hAnsi="Traditional Arabic" w:cs="Traditional Arabic"/>
          <w:sz w:val="28"/>
          <w:szCs w:val="28"/>
          <w:rtl/>
        </w:rPr>
        <w:t>س</w:t>
      </w:r>
      <w:r w:rsidR="00A42EC2" w:rsidRPr="0038687E">
        <w:rPr>
          <w:rFonts w:ascii="Traditional Arabic" w:hAnsi="Traditional Arabic" w:cs="Traditional Arabic" w:hint="cs"/>
          <w:sz w:val="28"/>
          <w:szCs w:val="28"/>
          <w:rtl/>
        </w:rPr>
        <w:t>ابق</w:t>
      </w:r>
      <w:r w:rsidRPr="0038687E">
        <w:rPr>
          <w:rFonts w:ascii="Traditional Arabic" w:hAnsi="Traditional Arabic" w:cs="Traditional Arabic"/>
          <w:sz w:val="28"/>
          <w:szCs w:val="28"/>
          <w:rtl/>
        </w:rPr>
        <w:t xml:space="preserve">،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ج</w:t>
      </w:r>
      <w:r w:rsidR="00A42EC2" w:rsidRPr="0038687E">
        <w:rPr>
          <w:rFonts w:ascii="Traditional Arabic" w:hAnsi="Traditional Arabic" w:cs="Traditional Arabic" w:hint="cs"/>
          <w:sz w:val="28"/>
          <w:szCs w:val="28"/>
          <w:rtl/>
        </w:rPr>
        <w:t>زء</w:t>
      </w:r>
      <w:r w:rsidRPr="0038687E">
        <w:rPr>
          <w:rFonts w:ascii="Traditional Arabic" w:hAnsi="Traditional Arabic" w:cs="Traditional Arabic"/>
          <w:sz w:val="28"/>
          <w:szCs w:val="28"/>
          <w:rtl/>
        </w:rPr>
        <w:t xml:space="preserve"> 4،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171. </w:t>
      </w:r>
    </w:p>
  </w:footnote>
  <w:footnote w:id="15">
    <w:p w14:paraId="719C2F8E" w14:textId="62997D72"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عبد المنعم حنفي، </w:t>
      </w:r>
      <w:r w:rsidRPr="0038687E">
        <w:rPr>
          <w:rFonts w:ascii="Traditional Arabic" w:hAnsi="Traditional Arabic" w:cs="Traditional Arabic"/>
          <w:b/>
          <w:bCs/>
          <w:sz w:val="28"/>
          <w:szCs w:val="28"/>
          <w:rtl/>
        </w:rPr>
        <w:t>المعجم الشامل لمصطلحات الفلسفة،</w:t>
      </w:r>
      <w:r w:rsidRPr="0038687E">
        <w:rPr>
          <w:rFonts w:ascii="Traditional Arabic" w:hAnsi="Traditional Arabic" w:cs="Traditional Arabic"/>
          <w:sz w:val="28"/>
          <w:szCs w:val="28"/>
          <w:rtl/>
        </w:rPr>
        <w:t xml:space="preserve"> (مكتبة مدبولي،</w:t>
      </w:r>
      <w:r w:rsidR="00A42EC2" w:rsidRPr="0038687E">
        <w:rPr>
          <w:rFonts w:ascii="Traditional Arabic" w:hAnsi="Traditional Arabic" w:cs="Traditional Arabic" w:hint="cs"/>
          <w:sz w:val="28"/>
          <w:szCs w:val="28"/>
          <w:rtl/>
        </w:rPr>
        <w:t xml:space="preserve"> الطبعة 3،</w:t>
      </w:r>
      <w:r w:rsidRPr="0038687E">
        <w:rPr>
          <w:rFonts w:ascii="Traditional Arabic" w:hAnsi="Traditional Arabic" w:cs="Traditional Arabic"/>
          <w:sz w:val="28"/>
          <w:szCs w:val="28"/>
          <w:rtl/>
        </w:rPr>
        <w:t xml:space="preserve"> 2000)،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184. </w:t>
      </w:r>
    </w:p>
  </w:footnote>
  <w:footnote w:id="16">
    <w:p w14:paraId="0FD95240" w14:textId="1E6F5F05" w:rsidR="00800565" w:rsidRPr="0038687E" w:rsidRDefault="00800565"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مراد وهبة، </w:t>
      </w:r>
      <w:r w:rsidRPr="0038687E">
        <w:rPr>
          <w:rFonts w:ascii="Traditional Arabic" w:hAnsi="Traditional Arabic" w:cs="Traditional Arabic"/>
          <w:b/>
          <w:bCs/>
          <w:sz w:val="28"/>
          <w:szCs w:val="28"/>
          <w:rtl/>
        </w:rPr>
        <w:t>المعجم الفلسفي</w:t>
      </w:r>
      <w:r w:rsidRPr="0038687E">
        <w:rPr>
          <w:rFonts w:ascii="Traditional Arabic" w:hAnsi="Traditional Arabic" w:cs="Traditional Arabic"/>
          <w:sz w:val="28"/>
          <w:szCs w:val="28"/>
          <w:rtl/>
        </w:rPr>
        <w:t xml:space="preserve"> (دار قباء للطباعة والنشر والتوزيع، 1988)،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735. </w:t>
      </w:r>
    </w:p>
  </w:footnote>
  <w:footnote w:id="17">
    <w:p w14:paraId="4DD29DBF" w14:textId="6482CB66" w:rsidR="00EB6AB3" w:rsidRPr="0038687E" w:rsidRDefault="00EB6AB3" w:rsidP="0038687E">
      <w:pPr>
        <w:pStyle w:val="FootnoteText"/>
        <w:bidi/>
        <w:jc w:val="both"/>
        <w:rPr>
          <w:rFonts w:ascii="Traditional Arabic" w:hAnsi="Traditional Arabic" w:cs="Traditional Arabic"/>
          <w:sz w:val="28"/>
          <w:szCs w:val="28"/>
          <w:rtl/>
          <w:lang w:bidi="ar-LB"/>
        </w:rPr>
      </w:pPr>
      <w:r w:rsidRPr="0038687E">
        <w:rPr>
          <w:rStyle w:val="FootnoteReference"/>
          <w:rFonts w:ascii="Traditional Arabic" w:hAnsi="Traditional Arabic" w:cs="Traditional Arabic"/>
          <w:sz w:val="28"/>
          <w:szCs w:val="28"/>
        </w:rPr>
        <w:footnoteRef/>
      </w:r>
      <w:r w:rsidRPr="0038687E">
        <w:rPr>
          <w:rFonts w:ascii="Traditional Arabic" w:hAnsi="Traditional Arabic" w:cs="Traditional Arabic"/>
          <w:sz w:val="28"/>
          <w:szCs w:val="28"/>
        </w:rPr>
        <w:t xml:space="preserve"> </w:t>
      </w:r>
      <w:r w:rsidRPr="0038687E">
        <w:rPr>
          <w:rFonts w:ascii="Traditional Arabic" w:hAnsi="Traditional Arabic" w:cs="Traditional Arabic"/>
          <w:sz w:val="28"/>
          <w:szCs w:val="28"/>
          <w:rtl/>
        </w:rPr>
        <w:t xml:space="preserve"> </w:t>
      </w:r>
      <w:r w:rsidR="0038687E">
        <w:rPr>
          <w:rFonts w:ascii="Traditional Arabic" w:hAnsi="Traditional Arabic" w:cs="Traditional Arabic" w:hint="cs"/>
          <w:sz w:val="28"/>
          <w:szCs w:val="28"/>
          <w:rtl/>
        </w:rPr>
        <w:t>ا</w:t>
      </w:r>
      <w:r w:rsidRPr="0038687E">
        <w:rPr>
          <w:rFonts w:ascii="Traditional Arabic" w:hAnsi="Traditional Arabic" w:cs="Traditional Arabic"/>
          <w:sz w:val="28"/>
          <w:szCs w:val="28"/>
          <w:rtl/>
        </w:rPr>
        <w:t xml:space="preserve">بن عربي، </w:t>
      </w:r>
      <w:r w:rsidRPr="0038687E">
        <w:rPr>
          <w:rFonts w:ascii="Traditional Arabic" w:hAnsi="Traditional Arabic" w:cs="Traditional Arabic"/>
          <w:b/>
          <w:bCs/>
          <w:sz w:val="28"/>
          <w:szCs w:val="28"/>
          <w:rtl/>
        </w:rPr>
        <w:t>ديوان ترجمان الأشواق،</w:t>
      </w:r>
      <w:r w:rsidRPr="0038687E">
        <w:rPr>
          <w:rFonts w:ascii="Traditional Arabic" w:hAnsi="Traditional Arabic" w:cs="Traditional Arabic"/>
          <w:sz w:val="28"/>
          <w:szCs w:val="28"/>
          <w:rtl/>
        </w:rPr>
        <w:t xml:space="preserve"> ترجمة</w:t>
      </w:r>
      <w:r w:rsidR="00A42EC2" w:rsidRPr="0038687E">
        <w:rPr>
          <w:rFonts w:ascii="Traditional Arabic" w:hAnsi="Traditional Arabic" w:cs="Traditional Arabic" w:hint="cs"/>
          <w:sz w:val="28"/>
          <w:szCs w:val="28"/>
          <w:rtl/>
        </w:rPr>
        <w:t>:</w:t>
      </w:r>
      <w:r w:rsidRPr="0038687E">
        <w:rPr>
          <w:rFonts w:ascii="Traditional Arabic" w:hAnsi="Traditional Arabic" w:cs="Traditional Arabic"/>
          <w:sz w:val="28"/>
          <w:szCs w:val="28"/>
          <w:rtl/>
        </w:rPr>
        <w:t xml:space="preserve"> د.عبد الرحمن نجيم، (القاهرة: دار صادر للنشر،</w:t>
      </w:r>
      <w:r w:rsidR="00A42EC2" w:rsidRPr="0038687E">
        <w:rPr>
          <w:rFonts w:ascii="Traditional Arabic" w:hAnsi="Traditional Arabic" w:cs="Traditional Arabic" w:hint="cs"/>
          <w:sz w:val="28"/>
          <w:szCs w:val="28"/>
          <w:rtl/>
        </w:rPr>
        <w:t xml:space="preserve"> الطبعة 2،</w:t>
      </w:r>
      <w:r w:rsidRPr="0038687E">
        <w:rPr>
          <w:rFonts w:ascii="Traditional Arabic" w:hAnsi="Traditional Arabic" w:cs="Traditional Arabic"/>
          <w:sz w:val="28"/>
          <w:szCs w:val="28"/>
          <w:rtl/>
        </w:rPr>
        <w:t xml:space="preserve"> لا ت)، </w:t>
      </w:r>
      <w:r w:rsidR="00A42EC2" w:rsidRPr="0038687E">
        <w:rPr>
          <w:rFonts w:ascii="Traditional Arabic" w:hAnsi="Traditional Arabic" w:cs="Traditional Arabic" w:hint="cs"/>
          <w:sz w:val="28"/>
          <w:szCs w:val="28"/>
          <w:rtl/>
        </w:rPr>
        <w:t>ال</w:t>
      </w:r>
      <w:r w:rsidRPr="0038687E">
        <w:rPr>
          <w:rFonts w:ascii="Traditional Arabic" w:hAnsi="Traditional Arabic" w:cs="Traditional Arabic"/>
          <w:sz w:val="28"/>
          <w:szCs w:val="28"/>
          <w:rtl/>
        </w:rPr>
        <w:t>ص</w:t>
      </w:r>
      <w:r w:rsidR="00A42EC2" w:rsidRPr="0038687E">
        <w:rPr>
          <w:rFonts w:ascii="Traditional Arabic" w:hAnsi="Traditional Arabic" w:cs="Traditional Arabic" w:hint="cs"/>
          <w:sz w:val="28"/>
          <w:szCs w:val="28"/>
          <w:rtl/>
        </w:rPr>
        <w:t>فحة</w:t>
      </w:r>
      <w:r w:rsidRPr="0038687E">
        <w:rPr>
          <w:rFonts w:ascii="Traditional Arabic" w:hAnsi="Traditional Arabic" w:cs="Traditional Arabic"/>
          <w:sz w:val="28"/>
          <w:szCs w:val="28"/>
          <w:rtl/>
        </w:rPr>
        <w:t xml:space="preserve"> 124.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81B2D"/>
    <w:multiLevelType w:val="hybridMultilevel"/>
    <w:tmpl w:val="69D821C2"/>
    <w:lvl w:ilvl="0" w:tplc="636211EE">
      <w:start w:val="1"/>
      <w:numFmt w:val="decimal"/>
      <w:lvlText w:val="%1-"/>
      <w:lvlJc w:val="left"/>
      <w:pPr>
        <w:ind w:left="580" w:hanging="360"/>
      </w:pPr>
      <w:rPr>
        <w:rFonts w:ascii="Traditional Arabic" w:eastAsia="Traditional Arabic" w:hAnsi="Traditional Arabic" w:cs="Traditional Arabic" w:hint="default"/>
        <w:b/>
        <w:color w:val="auto"/>
        <w:u w:val="single"/>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 w15:restartNumberingAfterBreak="0">
    <w:nsid w:val="32325EDB"/>
    <w:multiLevelType w:val="hybridMultilevel"/>
    <w:tmpl w:val="7C68F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ED409A3"/>
    <w:multiLevelType w:val="hybridMultilevel"/>
    <w:tmpl w:val="B6FED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3692D98"/>
    <w:multiLevelType w:val="hybridMultilevel"/>
    <w:tmpl w:val="E55EE500"/>
    <w:lvl w:ilvl="0" w:tplc="834C8034">
      <w:start w:val="1"/>
      <w:numFmt w:val="decimal"/>
      <w:lvlText w:val="%1-"/>
      <w:lvlJc w:val="left"/>
      <w:pPr>
        <w:ind w:left="724" w:hanging="720"/>
      </w:p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894"/>
    <w:rsid w:val="0006458E"/>
    <w:rsid w:val="00065D42"/>
    <w:rsid w:val="000720DC"/>
    <w:rsid w:val="000730F5"/>
    <w:rsid w:val="001202AF"/>
    <w:rsid w:val="00142CD2"/>
    <w:rsid w:val="00166E3D"/>
    <w:rsid w:val="001721BA"/>
    <w:rsid w:val="001A004D"/>
    <w:rsid w:val="0020417F"/>
    <w:rsid w:val="0027057A"/>
    <w:rsid w:val="002F5487"/>
    <w:rsid w:val="00304A41"/>
    <w:rsid w:val="0038687E"/>
    <w:rsid w:val="004600D6"/>
    <w:rsid w:val="004E42AC"/>
    <w:rsid w:val="005B2A49"/>
    <w:rsid w:val="006758D1"/>
    <w:rsid w:val="006D2C3D"/>
    <w:rsid w:val="00800565"/>
    <w:rsid w:val="0085068A"/>
    <w:rsid w:val="00867735"/>
    <w:rsid w:val="008F146E"/>
    <w:rsid w:val="00903894"/>
    <w:rsid w:val="009161E2"/>
    <w:rsid w:val="009430B1"/>
    <w:rsid w:val="0095330A"/>
    <w:rsid w:val="00A42EC2"/>
    <w:rsid w:val="00AF5959"/>
    <w:rsid w:val="00B010A6"/>
    <w:rsid w:val="00B644E6"/>
    <w:rsid w:val="00C07C56"/>
    <w:rsid w:val="00CD5FE0"/>
    <w:rsid w:val="00CD7774"/>
    <w:rsid w:val="00CF4BB6"/>
    <w:rsid w:val="00D9399D"/>
    <w:rsid w:val="00DC5D3B"/>
    <w:rsid w:val="00E53830"/>
    <w:rsid w:val="00EA65F9"/>
    <w:rsid w:val="00EB6AB3"/>
    <w:rsid w:val="00FA78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B1BC0"/>
  <w15:chartTrackingRefBased/>
  <w15:docId w15:val="{7F0DA9CF-FAC6-4E80-8395-4E2E73104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4A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2A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0056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800565"/>
    <w:rPr>
      <w:rFonts w:ascii="Calibri" w:eastAsia="Calibri" w:hAnsi="Calibri" w:cs="Arial"/>
      <w:sz w:val="20"/>
      <w:szCs w:val="20"/>
    </w:rPr>
  </w:style>
  <w:style w:type="paragraph" w:styleId="CommentText">
    <w:name w:val="annotation text"/>
    <w:basedOn w:val="Normal"/>
    <w:link w:val="CommentTextChar"/>
    <w:uiPriority w:val="99"/>
    <w:semiHidden/>
    <w:unhideWhenUsed/>
    <w:rsid w:val="00800565"/>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800565"/>
    <w:rPr>
      <w:rFonts w:ascii="Calibri" w:eastAsia="Calibri" w:hAnsi="Calibri" w:cs="Arial"/>
      <w:sz w:val="20"/>
      <w:szCs w:val="20"/>
    </w:rPr>
  </w:style>
  <w:style w:type="character" w:styleId="FootnoteReference">
    <w:name w:val="footnote reference"/>
    <w:basedOn w:val="DefaultParagraphFont"/>
    <w:uiPriority w:val="99"/>
    <w:semiHidden/>
    <w:unhideWhenUsed/>
    <w:rsid w:val="00800565"/>
    <w:rPr>
      <w:vertAlign w:val="superscript"/>
    </w:rPr>
  </w:style>
  <w:style w:type="character" w:styleId="CommentReference">
    <w:name w:val="annotation reference"/>
    <w:basedOn w:val="DefaultParagraphFont"/>
    <w:uiPriority w:val="99"/>
    <w:semiHidden/>
    <w:unhideWhenUsed/>
    <w:rsid w:val="00800565"/>
    <w:rPr>
      <w:sz w:val="16"/>
      <w:szCs w:val="16"/>
    </w:rPr>
  </w:style>
  <w:style w:type="table" w:styleId="TableGrid">
    <w:name w:val="Table Grid"/>
    <w:basedOn w:val="TableNormal"/>
    <w:uiPriority w:val="39"/>
    <w:rsid w:val="00800565"/>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05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6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00565"/>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00565"/>
    <w:rPr>
      <w:rFonts w:ascii="Calibri" w:eastAsia="Calibri" w:hAnsi="Calibri" w:cs="Arial"/>
      <w:b/>
      <w:bCs/>
      <w:sz w:val="20"/>
      <w:szCs w:val="20"/>
    </w:rPr>
  </w:style>
  <w:style w:type="character" w:styleId="Hyperlink">
    <w:name w:val="Hyperlink"/>
    <w:basedOn w:val="DefaultParagraphFont"/>
    <w:uiPriority w:val="99"/>
    <w:unhideWhenUsed/>
    <w:rsid w:val="004600D6"/>
    <w:rPr>
      <w:color w:val="0000FF"/>
      <w:u w:val="single"/>
    </w:rPr>
  </w:style>
  <w:style w:type="character" w:customStyle="1" w:styleId="Heading2Char">
    <w:name w:val="Heading 2 Char"/>
    <w:basedOn w:val="DefaultParagraphFont"/>
    <w:link w:val="Heading2"/>
    <w:uiPriority w:val="9"/>
    <w:rsid w:val="005B2A49"/>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8F1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46E"/>
  </w:style>
  <w:style w:type="paragraph" w:styleId="Footer">
    <w:name w:val="footer"/>
    <w:basedOn w:val="Normal"/>
    <w:link w:val="FooterChar"/>
    <w:uiPriority w:val="99"/>
    <w:unhideWhenUsed/>
    <w:rsid w:val="008F1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46E"/>
  </w:style>
  <w:style w:type="character" w:customStyle="1" w:styleId="Heading1Char">
    <w:name w:val="Heading 1 Char"/>
    <w:basedOn w:val="DefaultParagraphFont"/>
    <w:link w:val="Heading1"/>
    <w:uiPriority w:val="9"/>
    <w:rsid w:val="00304A4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04A41"/>
    <w:pPr>
      <w:outlineLvl w:val="9"/>
    </w:pPr>
  </w:style>
  <w:style w:type="paragraph" w:styleId="TOC1">
    <w:name w:val="toc 1"/>
    <w:basedOn w:val="Normal"/>
    <w:next w:val="Normal"/>
    <w:autoRedefine/>
    <w:uiPriority w:val="39"/>
    <w:unhideWhenUsed/>
    <w:rsid w:val="00304A41"/>
    <w:pPr>
      <w:spacing w:after="100"/>
    </w:pPr>
  </w:style>
  <w:style w:type="paragraph" w:styleId="TOC2">
    <w:name w:val="toc 2"/>
    <w:basedOn w:val="Normal"/>
    <w:next w:val="Normal"/>
    <w:autoRedefine/>
    <w:uiPriority w:val="39"/>
    <w:unhideWhenUsed/>
    <w:rsid w:val="00304A41"/>
    <w:pPr>
      <w:tabs>
        <w:tab w:val="right" w:leader="dot" w:pos="9350"/>
      </w:tabs>
      <w:bidi/>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3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14996-7734-4809-8479-8F01467A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Kawthar Aq</dc:creator>
  <cp:keywords/>
  <dc:description/>
  <cp:lastModifiedBy>bassima doulani</cp:lastModifiedBy>
  <cp:revision>14</cp:revision>
  <cp:lastPrinted>2021-01-19T18:01:00Z</cp:lastPrinted>
  <dcterms:created xsi:type="dcterms:W3CDTF">2021-02-22T11:27:00Z</dcterms:created>
  <dcterms:modified xsi:type="dcterms:W3CDTF">2021-02-22T13:14:00Z</dcterms:modified>
</cp:coreProperties>
</file>